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闽清县耕地和永久基本农田划定成果核实处置工作项目</w:t>
      </w:r>
    </w:p>
    <w:p>
      <w:pPr>
        <w:pStyle w:val="null3"/>
        <w:jc w:val="center"/>
        <w:outlineLvl w:val="2"/>
      </w:pPr>
      <w:r>
        <w:rPr>
          <w:b/>
          <w:sz w:val="28"/>
        </w:rPr>
        <w:t>备案编号：</w:t>
      </w:r>
      <w:r>
        <w:rPr>
          <w:b/>
          <w:sz w:val="28"/>
        </w:rPr>
        <w:t>CGXM-2023-350124-01059[2023]00754</w:t>
      </w:r>
    </w:p>
    <w:p>
      <w:pPr>
        <w:pStyle w:val="null3"/>
        <w:jc w:val="center"/>
        <w:outlineLvl w:val="2"/>
      </w:pPr>
      <w:r>
        <w:rPr>
          <w:b/>
          <w:sz w:val="28"/>
        </w:rPr>
        <w:t>项目编号：</w:t>
      </w:r>
      <w:r>
        <w:rPr>
          <w:b/>
          <w:sz w:val="28"/>
        </w:rPr>
        <w:t>[350124]HSXM[GK]2023001</w:t>
      </w:r>
    </w:p>
    <w:p>
      <w:pPr>
        <w:pStyle w:val="null3"/>
        <w:jc w:val="center"/>
        <w:outlineLvl w:val="2"/>
      </w:pPr>
      <w:r>
        <w:rPr>
          <w:b/>
          <w:sz w:val="28"/>
        </w:rPr>
        <w:t>采购人：</w:t>
      </w:r>
      <w:r>
        <w:rPr>
          <w:b/>
          <w:sz w:val="28"/>
        </w:rPr>
        <w:t>闽清县自然资源和规划局</w:t>
      </w:r>
    </w:p>
    <w:p>
      <w:pPr>
        <w:pStyle w:val="null3"/>
        <w:jc w:val="center"/>
        <w:outlineLvl w:val="2"/>
      </w:pPr>
      <w:r>
        <w:rPr>
          <w:b/>
          <w:sz w:val="28"/>
        </w:rPr>
        <w:t>代理机构：</w:t>
      </w:r>
      <w:r>
        <w:rPr>
          <w:b/>
          <w:sz w:val="28"/>
        </w:rPr>
        <w:t>福建火山项目管理有限公司</w:t>
      </w:r>
    </w:p>
    <w:p>
      <w:pPr>
        <w:pStyle w:val="null3"/>
        <w:jc w:val="center"/>
        <w:outlineLvl w:val="2"/>
      </w:pPr>
      <w:r>
        <w:rPr>
          <w:b/>
          <w:sz w:val="28"/>
        </w:rPr>
        <w:t>编制时间</w:t>
      </w:r>
      <w:r>
        <w:rPr>
          <w:b/>
          <w:sz w:val="28"/>
        </w:rPr>
        <w:t>：</w:t>
      </w:r>
      <w:r>
        <w:rPr>
          <w:b/>
          <w:sz w:val="28"/>
        </w:rPr>
        <w:t>2023年11月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福建火山项目管理有限公司</w:t>
      </w:r>
      <w:r>
        <w:rPr/>
        <w:t xml:space="preserve"> 采用公开招标方式组织 </w:t>
      </w:r>
      <w:r>
        <w:rPr/>
        <w:t>闽清县耕地和永久基本农田划定成果核实处置工作项目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CGXM-2023-350124-01059[2023]00754</w:t>
      </w:r>
    </w:p>
    <w:p>
      <w:pPr>
        <w:pStyle w:val="null3"/>
        <w:ind w:firstLine="480"/>
        <w:jc w:val="left"/>
        <w:outlineLvl w:val="2"/>
      </w:pPr>
      <w:r>
        <w:rPr>
          <w:b/>
          <w:sz w:val="28"/>
        </w:rPr>
        <w:t>2、项目编号</w:t>
      </w:r>
      <w:r>
        <w:rPr>
          <w:b/>
          <w:sz w:val="28"/>
        </w:rPr>
        <w:t>：</w:t>
      </w:r>
      <w:r>
        <w:rPr>
          <w:b/>
          <w:sz w:val="28"/>
        </w:rPr>
        <w:t>[350124]HSXM[GK]2023001</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简化资格证明材料（若有）</w:t>
            </w:r>
          </w:p>
        </w:tc>
        <w:tc>
          <w:tcPr>
            <w:tcW w:type="dxa" w:w="4614"/>
          </w:tcPr>
          <w:p>
            <w:pPr>
              <w:pStyle w:val="null3"/>
              <w:jc w:val="both"/>
            </w:pPr>
            <w:r>
              <w:rPr/>
              <w:t>根据《福州市财政局关于进一步推进政府采购领域优化营商环境工作的通知》(榕财采〔2021〕52号)“四、简化资格证明材料”的规定，投标人在投标（响应）时，可按照规定提供相关承诺函（详见采购文件相关附件）的，无需再提交财务状况、缴纳税收和社保资金缴纳等证明材料。同时，采购人有权在签订合同前要求中标人提供相关证明材料以核实中标人承诺事项的真实性。投标人应当遵循诚实守信的原则，不得作出虚假承诺，承诺不实的，属于提供虚假材料谋取中标、成交，依法追究相关的法律责任。</w:t>
            </w:r>
          </w:p>
        </w:tc>
      </w:tr>
      <w:tr>
        <w:tc>
          <w:tcPr>
            <w:tcW w:type="dxa" w:w="3692"/>
          </w:tcPr>
          <w:p>
            <w:pPr>
              <w:pStyle w:val="null3"/>
              <w:jc w:val="both"/>
            </w:pPr>
            <w:r>
              <w:rPr/>
              <w:t>其他资格条件</w:t>
            </w:r>
          </w:p>
        </w:tc>
        <w:tc>
          <w:tcPr>
            <w:tcW w:type="dxa" w:w="4614"/>
          </w:tcPr>
          <w:p>
            <w:pPr>
              <w:pStyle w:val="null3"/>
              <w:jc w:val="both"/>
            </w:pPr>
            <w:r>
              <w:rPr/>
              <w:t>投标人应具备行政主管部门核发有效的摄影测量与遥感和地理信息系统工程乙级及以上测绘资质，并提供相关资质证书复印件并加盖投标人公章。</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闽清县自然资源和规划局</w:t>
      </w:r>
    </w:p>
    <w:p>
      <w:pPr>
        <w:pStyle w:val="null3"/>
        <w:ind w:firstLine="960"/>
        <w:jc w:val="left"/>
      </w:pPr>
    </w:p>
    <w:p>
      <w:pPr>
        <w:pStyle w:val="null3"/>
        <w:jc w:val="left"/>
      </w:pPr>
    </w:p>
    <w:p>
      <w:pPr>
        <w:pStyle w:val="null3"/>
        <w:jc w:val="left"/>
      </w:pPr>
      <w:r>
        <w:rPr/>
        <w:t xml:space="preserve"> 地址： </w:t>
      </w:r>
      <w:r>
        <w:rPr/>
        <w:t>福建省福州市闽清县梅城镇台山路108号</w:t>
      </w:r>
    </w:p>
    <w:p>
      <w:pPr>
        <w:pStyle w:val="null3"/>
        <w:jc w:val="left"/>
      </w:pPr>
      <w:r>
        <w:rPr/>
        <w:t xml:space="preserve"> 邮编： </w:t>
      </w:r>
      <w:r>
        <w:rPr/>
        <w:t>350800</w:t>
      </w:r>
    </w:p>
    <w:p>
      <w:pPr>
        <w:pStyle w:val="null3"/>
        <w:jc w:val="left"/>
      </w:pPr>
      <w:r>
        <w:rPr/>
        <w:t xml:space="preserve"> 联系人： </w:t>
      </w:r>
      <w:r>
        <w:rPr/>
        <w:t>林培楠</w:t>
      </w:r>
    </w:p>
    <w:p>
      <w:pPr>
        <w:pStyle w:val="null3"/>
        <w:jc w:val="left"/>
      </w:pPr>
      <w:r>
        <w:rPr/>
        <w:t xml:space="preserve"> 联系电话： </w:t>
      </w:r>
      <w:r>
        <w:rPr/>
        <w:t>18050402270</w:t>
      </w:r>
    </w:p>
    <w:p>
      <w:pPr>
        <w:pStyle w:val="null3"/>
        <w:ind w:firstLine="480"/>
        <w:jc w:val="left"/>
        <w:outlineLvl w:val="2"/>
      </w:pPr>
      <w:r>
        <w:rPr>
          <w:b/>
          <w:sz w:val="28"/>
        </w:rPr>
        <w:t>12、代理机构</w:t>
      </w:r>
      <w:r>
        <w:rPr>
          <w:b/>
          <w:sz w:val="28"/>
        </w:rPr>
        <w:t>：</w:t>
      </w:r>
      <w:r>
        <w:rPr>
          <w:b/>
          <w:sz w:val="28"/>
        </w:rPr>
        <w:t>福建火山项目管理有限公司</w:t>
      </w:r>
    </w:p>
    <w:p>
      <w:pPr>
        <w:pStyle w:val="null3"/>
        <w:ind w:firstLine="960"/>
        <w:jc w:val="both"/>
      </w:pPr>
    </w:p>
    <w:p>
      <w:pPr>
        <w:pStyle w:val="null3"/>
        <w:jc w:val="both"/>
      </w:pPr>
    </w:p>
    <w:p>
      <w:pPr>
        <w:pStyle w:val="null3"/>
        <w:jc w:val="both"/>
      </w:pPr>
      <w:r>
        <w:rPr/>
        <w:t xml:space="preserve"> 地址： </w:t>
      </w:r>
      <w:r>
        <w:rPr/>
        <w:t>福建省福州市晋安区王庄街道福新中路75号永同昌大厦11层05、06室</w:t>
      </w:r>
    </w:p>
    <w:p>
      <w:pPr>
        <w:pStyle w:val="null3"/>
        <w:jc w:val="both"/>
      </w:pPr>
      <w:r>
        <w:rPr/>
        <w:t xml:space="preserve"> 邮编： </w:t>
      </w:r>
      <w:r>
        <w:rPr/>
        <w:t>350011</w:t>
      </w:r>
    </w:p>
    <w:p>
      <w:pPr>
        <w:pStyle w:val="null3"/>
        <w:jc w:val="both"/>
      </w:pPr>
      <w:r>
        <w:rPr/>
        <w:t xml:space="preserve"> 联系人： </w:t>
      </w:r>
      <w:r>
        <w:rPr/>
        <w:t>何丹萍、林鹭、许灿军</w:t>
      </w:r>
    </w:p>
    <w:p>
      <w:pPr>
        <w:pStyle w:val="null3"/>
        <w:jc w:val="both"/>
      </w:pPr>
      <w:r>
        <w:rPr/>
        <w:t xml:space="preserve"> 联系电话： </w:t>
      </w:r>
      <w:r>
        <w:rPr/>
        <w:t>0591-83666679</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福建火山项目管理有限公司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1,200,000.00</w:t>
      </w:r>
    </w:p>
    <w:p>
      <w:pPr>
        <w:pStyle w:val="null3"/>
        <w:jc w:val="left"/>
      </w:pPr>
      <w:r>
        <w:rPr/>
        <w:t>采购包最高限价（元）: 1,200,000.00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闽清县耕地和永久基本农田划定成果核实处置工作</w:t>
            </w:r>
          </w:p>
        </w:tc>
        <w:tc>
          <w:tcPr>
            <w:tcW w:type="dxa" w:w="1187"/>
          </w:tcPr>
          <w:p>
            <w:pPr>
              <w:pStyle w:val="null3"/>
              <w:jc w:val="right"/>
            </w:pPr>
            <w:r>
              <w:rPr/>
              <w:t>150,000.00</w:t>
            </w:r>
          </w:p>
        </w:tc>
        <w:tc>
          <w:tcPr>
            <w:tcW w:type="dxa" w:w="1187"/>
          </w:tcPr>
          <w:p>
            <w:pPr>
              <w:pStyle w:val="null3"/>
              <w:jc w:val="right"/>
            </w:pPr>
            <w:r>
              <w:rPr/>
              <w:t>1,200,000.00</w:t>
            </w:r>
          </w:p>
        </w:tc>
        <w:tc>
          <w:tcPr>
            <w:tcW w:type="dxa" w:w="1187"/>
          </w:tcPr>
          <w:p>
            <w:pPr>
              <w:pStyle w:val="null3"/>
              <w:jc w:val="left"/>
            </w:pPr>
            <w:r>
              <w:rPr/>
              <w:t>亩</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pPr>
    </w:p>
    <w:p>
      <w:pPr>
        <w:pStyle w:val="null3"/>
      </w:pPr>
      <w:r>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p>
          <w:p>
            <w:pPr>
              <w:pStyle w:val="null3"/>
              <w:jc w:val="left"/>
            </w:pP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p>
          <w:p>
            <w:pPr>
              <w:pStyle w:val="null3"/>
              <w:jc w:val="left"/>
            </w:pPr>
          </w:p>
          <w:p>
            <w:pPr>
              <w:pStyle w:val="null3"/>
              <w:jc w:val="left"/>
            </w:pP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评审得分相同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评标委员会则采取随机抽取的方式确定。</w:t>
            </w:r>
          </w:p>
          <w:p>
            <w:pPr>
              <w:pStyle w:val="null3"/>
              <w:jc w:val="left"/>
            </w:pPr>
            <w:r>
              <w:rPr/>
              <w:t xml:space="preserve"> ②若本款第①点规定方式为“无”，则按照下列方式确定：</w:t>
            </w:r>
          </w:p>
          <w:p>
            <w:pPr>
              <w:pStyle w:val="null3"/>
              <w:jc w:val="left"/>
            </w:pPr>
            <w:r>
              <w:rPr/>
              <w:t>随机抽取</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福建火山项目管理有限公司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闽清县财政局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代理服务费收费标准：（1）招标代理服务费收取标准：①以中标通知书规定的中标总金额作为收费的计算基数，招标代理服务费按差额定率累进法计算。 ②招标代理服务收费的标准：100(万元)以下收费费率标准：1.50%，100-500（万元）收费费率标准：0.8%。（2）招标代理服务费收取方式：中标人应在领取中标通知书的同时按规定的标准一次性向采购代理机构缴清招标代理服务费。招标代理服务费收费以银行转账、电汇、汇票等非现金付款方式支付。 （3）招标代理服务费缴交银行帐号： 开户名：福建火山项目管理有限公司；开户行：兴业银行总行；帐 号：117010100100458598。</w:t>
            </w:r>
          </w:p>
          <w:p>
            <w:pPr>
              <w:pStyle w:val="null3"/>
              <w:jc w:val="left"/>
            </w:pPr>
            <w:r>
              <w:rPr/>
              <w:t xml:space="preserve"> (2)其他：</w:t>
            </w:r>
          </w:p>
          <w:p>
            <w:pPr>
              <w:pStyle w:val="null3"/>
              <w:jc w:val="left"/>
            </w:pPr>
            <w:r>
              <w:rPr/>
              <w:t>19.1投标人超过最高限价的报价为无效报价。根据《中华人民共和国价格法》第六条、第十八条规定，投标人依法有权自主制定属于市场调节的价格，有权根据企业的生产经营成本等自身情况和市场供求状况等外部因素自主定价。 19.2实质性要求和条件：以下为可能导致无效投标的条款，具体内容详见招标文件各章节，请各投标人认真查看对照。 (1)投标报价不符合《投标人须知前附表》第1节第19.1条款规定的。 (2)不符合《投标人须知前附表》第1节第19.2条款规定的。 (3)出现“评标方法和标准”无效投标或投标无效规定的。 (4)出现第三章《投标人须知》无效投标或投标无效规定的。 (5)出现第四章《资格审查与评标》无效投标或投标无效规定的。 (6)出现第五章《招标内容及要求》中“★”标示的内容为负偏离的。 (7)出现第五章《招标内容及要求》无效投标或投标无效规定的。 (8)明显不符合技术和服务要求的为无效响应。 (9)出现第七章《投标文件格式》无效投标或投标无效规定的。 (10)内容不全或关键字迹模糊、无法辨认的视为无效响应。(11)出现招标文件中其他实质性条款规定的情形。 19.3质疑与投诉 19.3.1质疑： 19.3.1.1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(1)对可以质疑的采购文件提出质疑的，为收到采购文件之日； (2)对采购过程提出质疑的，为各采购程序环节结束之日； (3)对成交结果提出质疑的，为成交结果公告期限届满之日。 19.3.1.2质疑函原件应采用下列方式提交：书面形式。 19.3.1.3接收质疑函的联系部门、联系电话和通讯地址。 (1)接收质疑函的联系部门：办公室； (2)接收质疑函的联系电话：0591-83666679； (3)接收质疑函的通讯地址：福建省福州市晋安区福新中路75号永同昌大厦11层05、06室福建火山项目管理有限公司。 19.3.1.4质疑受理的其它要求： (1)在法定质疑期内质疑人须一次性提出针对同一采购程序环节的质疑，二（多）次质疑不予受理。 (2)质疑人递交质疑函时还应出具质疑人已在福建省政府采购网上公开信息系统上已对本项目进行报名的证明文件（须体现报名时间），否则将不被认定为潜在投标人，其质疑将不予受理。特别注意：招标文件首次下载之日为质疑人在福建省政府采购网上公开信息系统成功报名之日。 19.3.1.5投标人对本项目招标文件有任何疑议或不认同之处，需在法定时间内按规定提出质疑，否则视为投标人接受招标文件的规定。 19.3.2投诉：根据《政府采购质疑和投诉办法》(财政部令第94号)第十八条规定，“投诉人投诉时,应当提交投诉书和必要的证明材料，并按照被投诉采购人、采购代理机构和与投诉事项有关的供应商数量提供投诉书的副本”。根据《政府采购质疑和投诉办法》(财政部令第94号)第二十条规定，“供应商投诉的事项不得超出已质疑事项的范围，但基于质疑答复内容提出的投诉事项除外。” 19.4为本项目提供整体设计、规范编制或项目管理、监理、检测等服务的供应商不得参与本项目投标，否则其资格审查不合格。 19.5投标人出现 《福建省财政厅关于电子化政府采购项目中视为串标情形认定与处理的指导意见》（闽财购〔2018〕30号）文中规定的视为串标情形的，其投标无效。</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电子投标文件（报价部分）的投标报价、投标客户端填写的投标报价应保持一致，并以投标客户端填写的投标报价为准。</w:t>
            </w:r>
          </w:p>
        </w:tc>
      </w:tr>
    </w:tbl>
    <w:p>
      <w:pPr>
        <w:pStyle w:val="null3"/>
      </w:pPr>
    </w:p>
    <w:p>
      <w:pPr>
        <w:pStyle w:val="null3"/>
      </w:pPr>
      <w:r>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福建火山项目管理有限公司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福建火山项目管理有限公司</w:t>
      </w:r>
      <w:r>
        <w:rPr/>
        <w:t xml:space="preserve"> 将在投标截止时间至少15个日历日前，在招标文件载明的指定媒体以更正公告的形式发布澄清或修改的内容。不足15个日历日的， </w:t>
      </w:r>
      <w:r>
        <w:rPr/>
        <w:t>福建火山项目管理有限公司</w:t>
      </w:r>
      <w:r>
        <w:rPr/>
        <w:t xml:space="preserve"> 将顺延投标截止时间及开标时间， </w:t>
      </w:r>
      <w:r>
        <w:rPr/>
        <w:t>福建火山项目管理有限公司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福建火山项目管理有限公司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福建火山项目管理有限公司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福建火山项目管理有限公司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福建火山项目管理有限公司</w:t>
      </w:r>
      <w:r>
        <w:rPr/>
        <w:t xml:space="preserve"> 可终止招标并发布终止公告。</w:t>
      </w:r>
    </w:p>
    <w:p>
      <w:pPr>
        <w:pStyle w:val="null3"/>
        <w:ind w:firstLine="480"/>
        <w:jc w:val="both"/>
      </w:pPr>
      <w:r>
        <w:rPr/>
        <w:t xml:space="preserve">8.2终止公告作为 </w:t>
      </w:r>
      <w:r>
        <w:rPr/>
        <w:t>福建火山项目管理有限公司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福建火山项目管理有限公司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福建火山项目管理有限公司</w:t>
      </w:r>
      <w:r>
        <w:rPr/>
        <w:t xml:space="preserve"> 可于投标有效期届满之前书面要求投标人延长投标有效期，投标人应在 </w:t>
      </w:r>
      <w:r>
        <w:rPr/>
        <w:t>福建火山项目管理有限公司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福建火山项目管理有限公司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福建火山项目管理有限公司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福建火山项目管理有限公司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福建火山项目管理有限公司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福建火山项目管理有限公司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福建火山项目管理有限公司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福建火山项目管理有限公司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福建火山项目管理有限公司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福建火山项目管理有限公司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福建火山项目管理有限公司</w:t>
      </w:r>
      <w:r>
        <w:rPr/>
        <w:t xml:space="preserve"> 提出询问， </w:t>
      </w:r>
      <w:r>
        <w:rPr/>
        <w:t>福建火山项目管理有限公司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福建火山项目管理有限公司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p>
    <w:p>
      <w:pPr>
        <w:pStyle w:val="null3"/>
      </w:pPr>
      <w:r>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福建火山项目管理有限公司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p>
    <w:p>
      <w:pPr>
        <w:pStyle w:val="null3"/>
        <w:jc w:val="both"/>
      </w:pPr>
      <w:r>
        <w:rPr/>
        <w:t>资格审查小组由3人组成，并负责具体审查事务，</w:t>
      </w:r>
      <w:r>
        <w:rPr/>
        <w:t>其中由采购人派出的采购人代表至少1人，</w:t>
      </w:r>
      <w:r>
        <w:rPr/>
        <w:t>由福建火山项目管理有限公司派出的工作人员至少1人，</w:t>
      </w:r>
      <w:r>
        <w:rPr/>
        <w:t>其余1人可为采购人代表或福建火山项目管理有限公司的工作人员。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简化资格证明材料（若有）</w:t>
            </w:r>
          </w:p>
        </w:tc>
        <w:tc>
          <w:tcPr>
            <w:tcW w:type="dxa" w:w="4614"/>
          </w:tcPr>
          <w:p>
            <w:pPr>
              <w:pStyle w:val="null3"/>
              <w:jc w:val="left"/>
            </w:pPr>
            <w:r>
              <w:rPr/>
              <w:t>根据《福州市财政局关于进一步推进政府采购领域优化营商环境工作的通知》(榕财采〔2021〕52号)“四、简化资格证明材料”的规定，投标人在投标（响应）时，可按照规定提供相关承诺函（详见采购文件相关附件）的，无需再提交财务状况、缴纳税收和社保资金缴纳等证明材料。同时，采购人有权在签订合同前要求中标人提供相关证明材料以核实中标人承诺事项的真实性。投标人应当遵循诚实守信的原则，不得作出虚假承诺，承诺不实的，属于提供虚假材料谋取中标、成交，依法追究相关的法律责任。</w:t>
            </w:r>
          </w:p>
        </w:tc>
      </w:tr>
      <w:tr>
        <w:tc>
          <w:tcPr>
            <w:tcW w:type="dxa" w:w="3692"/>
          </w:tcPr>
          <w:p>
            <w:pPr>
              <w:pStyle w:val="null3"/>
              <w:jc w:val="left"/>
            </w:pPr>
            <w:r>
              <w:rPr/>
              <w:t>其他资格条件</w:t>
            </w:r>
          </w:p>
        </w:tc>
        <w:tc>
          <w:tcPr>
            <w:tcW w:type="dxa" w:w="4614"/>
          </w:tcPr>
          <w:p>
            <w:pPr>
              <w:pStyle w:val="null3"/>
              <w:jc w:val="left"/>
            </w:pPr>
            <w:r>
              <w:rPr/>
              <w:t>投标人应具备行政主管部门核发有效的摄影测量与遥感和地理信息系统工程乙级及以上测绘资质，并提供相关资质证书复印件并加盖投标人公章。</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福建火山项目管理有限公司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福建火山项目管理有限公司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福建火山项目管理有限公司</w:t>
      </w:r>
      <w:r>
        <w:rPr/>
        <w:t xml:space="preserve"> 负责评标委员会的组建及评标工作的组织。</w:t>
      </w:r>
    </w:p>
    <w:p>
      <w:pPr>
        <w:pStyle w:val="null3"/>
        <w:ind w:firstLine="480"/>
        <w:jc w:val="both"/>
      </w:pPr>
      <w:r>
        <w:rPr/>
        <w:t>5、评标委员会</w:t>
      </w:r>
    </w:p>
    <w:p>
      <w:pPr>
        <w:pStyle w:val="null3"/>
        <w:ind w:firstLine="480"/>
        <w:jc w:val="both"/>
      </w:pPr>
    </w:p>
    <w:p>
      <w:pPr>
        <w:pStyle w:val="null3"/>
        <w:jc w:val="both"/>
      </w:pPr>
    </w:p>
    <w:p>
      <w:pPr>
        <w:pStyle w:val="null3"/>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福建火山项目管理有限公司</w:t>
      </w:r>
      <w:r>
        <w:rPr/>
        <w:t xml:space="preserve"> 统一对外发布。</w:t>
      </w:r>
    </w:p>
    <w:p>
      <w:pPr>
        <w:pStyle w:val="null3"/>
        <w:ind w:firstLine="480"/>
        <w:jc w:val="both"/>
      </w:pPr>
      <w:r>
        <w:rPr/>
        <w:t xml:space="preserve">②对 </w:t>
      </w:r>
      <w:r>
        <w:rPr/>
        <w:t>福建火山项目管理有限公司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投标人技术部分得分少于技术部分总分50%的，即视为技术部分未实质性响应招标文件要求，按无效投标处理。</w:t>
            </w:r>
          </w:p>
        </w:tc>
      </w:tr>
      <w:tr>
        <w:tc>
          <w:tcPr>
            <w:tcW w:type="dxa" w:w="4153"/>
          </w:tcPr>
          <w:p>
            <w:pPr>
              <w:pStyle w:val="null3"/>
              <w:jc w:val="left"/>
            </w:pPr>
            <w:r>
              <w:rPr/>
              <w:t>其他情形</w:t>
            </w:r>
          </w:p>
        </w:tc>
        <w:tc>
          <w:tcPr>
            <w:tcW w:type="dxa" w:w="4153"/>
          </w:tcPr>
          <w:p>
            <w:pPr>
              <w:pStyle w:val="null3"/>
              <w:jc w:val="left"/>
            </w:pPr>
            <w:r>
              <w:rPr/>
              <w:t>投标人的投标文件响应招标文件第五章“二、技术和服务要求”中标注“★”的内容出现负偏离的，按无效投标处理。</w:t>
            </w:r>
          </w:p>
        </w:tc>
      </w:tr>
      <w:tr>
        <w:tc>
          <w:tcPr>
            <w:tcW w:type="dxa" w:w="4153"/>
          </w:tcPr>
          <w:p>
            <w:pPr>
              <w:pStyle w:val="null3"/>
              <w:jc w:val="left"/>
            </w:pPr>
            <w:r>
              <w:rPr/>
              <w:t>其他情形</w:t>
            </w:r>
          </w:p>
        </w:tc>
        <w:tc>
          <w:tcPr>
            <w:tcW w:type="dxa" w:w="4153"/>
          </w:tcPr>
          <w:p>
            <w:pPr>
              <w:pStyle w:val="null3"/>
              <w:jc w:val="left"/>
            </w:pPr>
            <w:r>
              <w:rPr/>
              <w:t>技术部分中出现报价部分的全部或部分的投标报价信息（或组成资料），符合性审查不合格。</w:t>
            </w:r>
          </w:p>
        </w:tc>
      </w:tr>
      <w:tr>
        <w:tc>
          <w:tcPr>
            <w:tcW w:type="dxa" w:w="4153"/>
          </w:tcPr>
          <w:p>
            <w:pPr>
              <w:pStyle w:val="null3"/>
              <w:jc w:val="left"/>
            </w:pPr>
            <w:r>
              <w:rPr/>
              <w:t>其他情形</w:t>
            </w:r>
          </w:p>
        </w:tc>
        <w:tc>
          <w:tcPr>
            <w:tcW w:type="dxa" w:w="4153"/>
          </w:tcPr>
          <w:p>
            <w:pPr>
              <w:pStyle w:val="null3"/>
              <w:jc w:val="left"/>
            </w:pPr>
            <w:r>
              <w:rPr/>
              <w:t>招标文件规定的其他投标无效情形。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投标人的投标文件不满足招标文件第五章“三、商务条件”中的任何一项要求的，其投标无效。</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投标文件的商务部分中出现报价部分的全部或部分的投标报价信息（或组成资料），符合性审查不合格。</w:t>
            </w:r>
          </w:p>
        </w:tc>
      </w:tr>
      <w:tr>
        <w:tc>
          <w:tcPr>
            <w:tcW w:type="dxa" w:w="4153"/>
          </w:tcPr>
          <w:p>
            <w:pPr>
              <w:pStyle w:val="null3"/>
              <w:jc w:val="left"/>
            </w:pPr>
            <w:r>
              <w:rPr/>
              <w:t>其他情形</w:t>
            </w:r>
          </w:p>
        </w:tc>
        <w:tc>
          <w:tcPr>
            <w:tcW w:type="dxa" w:w="4153"/>
          </w:tcPr>
          <w:p>
            <w:pPr>
              <w:pStyle w:val="null3"/>
              <w:jc w:val="left"/>
            </w:pPr>
            <w:r>
              <w:rPr/>
              <w:t>招标文件规定的其他投标无效情形。</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p>
    <w:p>
      <w:pPr>
        <w:pStyle w:val="null3"/>
        <w:jc w:val="both"/>
      </w:pPr>
      <w:r>
        <w:rPr/>
        <w:t>评审得分相同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采取随机抽取方式确定。其他同品牌投标人不作为中标候选人。</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福建火山项目管理有限公司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p>
    <w:p>
      <w:pPr>
        <w:pStyle w:val="null3"/>
        <w:jc w:val="both"/>
      </w:pPr>
    </w:p>
    <w:p>
      <w:pPr>
        <w:pStyle w:val="null3"/>
        <w:jc w:val="both"/>
      </w:pPr>
      <w:r>
        <w:rPr/>
        <w:t>采购包1：综合评分法</w:t>
      </w:r>
    </w:p>
    <w:p>
      <w:pPr>
        <w:pStyle w:val="null3"/>
        <w:ind w:firstLine="480"/>
        <w:jc w:val="both"/>
      </w:pPr>
      <w:r>
        <w:rPr/>
        <w:t>7.2评标标准</w:t>
      </w:r>
    </w:p>
    <w:p>
      <w:pPr>
        <w:pStyle w:val="null3"/>
        <w:ind w:firstLine="480"/>
        <w:jc w:val="both"/>
      </w:pPr>
    </w:p>
    <w:p>
      <w:pPr>
        <w:pStyle w:val="null3"/>
        <w:jc w:val="both"/>
      </w:pPr>
    </w:p>
    <w:p>
      <w:pPr>
        <w:pStyle w:val="null3"/>
        <w:jc w:val="both"/>
      </w:pPr>
    </w:p>
    <w:p>
      <w:pPr>
        <w:pStyle w:val="null3"/>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根据《关于印发&lt;政府采购促进中小企业发展管理办法&gt;的通知》（财库〔2020〕46号）文件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 （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工程项目为3%）的评审价格扣除优惠。 （3）根据《财政部 民政部 中国残疾人联合会关于促进残疾人就业政府采购政策的通知》（财库〔2017〕141号）规定，符合规定的残疾人福利性单位参加政府采购活动视同小型、微型企业，提供《残疾人福利性单位声明函》并对声明的真实性负责，其报价享受15%（工程项目为5%）的评审价格扣除优惠。对残疾人福利性单位与其他组织组成联合体参与政府采购活动的，残疾人福利性单位的协议合同金额占总合同金额30%以上的，给予联合体合同金额5%（工程项目为2%）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 1、本项目为服务类采购项目，采购标的对应的中小企业划分标准所属行业为：其他未列明行业（民办非企业不适用本条规定），供应商应对应填写《中小企业声明函》(服务)模板；若供应商填写的《中小企业声明函》不是对应模板的或者提供的《中小企业声明函》中填写的行业与招标文件明确的采购标的对应的中小企业划分标准所属行业不一致，均不予认定为小微企业，不予价格扣除。 2、依据本办法规定享受扶持政策获得政府采购合同的，小微企业不得将合同分包给大中型企业，中型企业不得将合同分包给大型企业。 3、投标人提供声明函内容不实的或提供虚假证明文件的，均属于提供虚假材料谋取中标、成交，一经发现将依照《中华人民共和国政府采购法》等国家有关规定追究相应责任。</w:t>
            </w:r>
          </w:p>
        </w:tc>
      </w:tr>
    </w:tbl>
    <w:p>
      <w:pPr>
        <w:pStyle w:val="null3"/>
        <w:jc w:val="both"/>
      </w:pPr>
      <w:r>
        <w:rPr/>
        <w:t>其他：无</w:t>
      </w:r>
    </w:p>
    <w:p>
      <w:pPr>
        <w:pStyle w:val="null3"/>
        <w:jc w:val="both"/>
      </w:pPr>
      <w:r>
        <w:rPr/>
        <w:t>技术项（F2×A2）满分为66.00分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1、服务要求响应情况</w:t>
            </w:r>
          </w:p>
        </w:tc>
        <w:tc>
          <w:tcPr>
            <w:tcW w:type="dxa" w:w="831"/>
          </w:tcPr>
          <w:p>
            <w:pPr>
              <w:pStyle w:val="null3"/>
              <w:jc w:val="right"/>
            </w:pPr>
            <w:r>
              <w:rPr/>
              <w:t>39.00</w:t>
            </w:r>
          </w:p>
        </w:tc>
        <w:tc>
          <w:tcPr>
            <w:tcW w:type="dxa" w:w="4153"/>
          </w:tcPr>
          <w:p>
            <w:pPr>
              <w:pStyle w:val="null3"/>
              <w:jc w:val="both"/>
            </w:pPr>
            <w:r>
              <w:rPr/>
              <w:t>根据投标人对招标文件《第五章 招标内容及要求》第二点“技术和服务要求”的逐项响应情况并结合相关佐证材料（如有），由评标委员会根据下列评审要求进行评议并评分：①投标人技术指标完全满足招标文件要求的得39分，正偏离不加分； ②“技术和服务要求”中以“★”标示的内容，若出现负偏离的按无效投标处理（共5项）；③“技术和服务要求”中其他技术参数，若出现负偏离的，每负偏离一项扣3分（共13项，小计39分），直至扣完为止。</w:t>
            </w:r>
          </w:p>
        </w:tc>
      </w:tr>
      <w:tr>
        <w:tc>
          <w:tcPr>
            <w:tcW w:type="dxa" w:w="3322"/>
          </w:tcPr>
          <w:p>
            <w:pPr>
              <w:pStyle w:val="null3"/>
              <w:jc w:val="both"/>
            </w:pPr>
            <w:r>
              <w:rPr/>
              <w:t>2、项目总体理解、需求分析情况</w:t>
            </w:r>
          </w:p>
        </w:tc>
        <w:tc>
          <w:tcPr>
            <w:tcW w:type="dxa" w:w="831"/>
          </w:tcPr>
          <w:p>
            <w:pPr>
              <w:pStyle w:val="null3"/>
              <w:jc w:val="right"/>
            </w:pPr>
            <w:r>
              <w:rPr/>
              <w:t>3.00</w:t>
            </w:r>
          </w:p>
        </w:tc>
        <w:tc>
          <w:tcPr>
            <w:tcW w:type="dxa" w:w="4153"/>
          </w:tcPr>
          <w:p>
            <w:pPr>
              <w:pStyle w:val="null3"/>
              <w:jc w:val="both"/>
            </w:pPr>
            <w:r>
              <w:rPr/>
              <w:t>根据投标人针对本项目提供的项目总体理解、需求分析情况，由评标委员会进行评议并打分，内容包含但不限于：①项目背景；②工作目标；③工作任务。投标人所提供的方案：①解读内容齐全无缺漏项、与采购需求相符，每个解读要点均有展开详细的阐述，对项目理解深刻、内容具有针对性，整体思路结构清晰、逻辑性强，内容描述科学合理，细节考虑周全且能够适用于本项目的，得3分； ②解读内容齐全无缺漏项、与采购需求较为相符，每个解读要点均有展开阐述（但没有特别具体），对项目理解到位、部分内容具有针对性，整体思路结构较清晰、逻辑性较强，内容描述较科学合理的，细节考虑较周全且基本能够适用于本项目的，得2分； ③解读内容有缺项1项或无缺项但解读内容一般、简略且未展开详细阐述的，得1.5分； ④缺项2项及以上或内容明显不适用于本项目需求的均不得分。</w:t>
            </w:r>
          </w:p>
        </w:tc>
      </w:tr>
      <w:tr>
        <w:tc>
          <w:tcPr>
            <w:tcW w:type="dxa" w:w="3322"/>
          </w:tcPr>
          <w:p>
            <w:pPr>
              <w:pStyle w:val="null3"/>
              <w:jc w:val="both"/>
            </w:pPr>
            <w:r>
              <w:rPr/>
              <w:t>3、工作流程方案</w:t>
            </w:r>
          </w:p>
        </w:tc>
        <w:tc>
          <w:tcPr>
            <w:tcW w:type="dxa" w:w="831"/>
          </w:tcPr>
          <w:p>
            <w:pPr>
              <w:pStyle w:val="null3"/>
              <w:jc w:val="right"/>
            </w:pPr>
            <w:r>
              <w:rPr/>
              <w:t>3.00</w:t>
            </w:r>
          </w:p>
        </w:tc>
        <w:tc>
          <w:tcPr>
            <w:tcW w:type="dxa" w:w="4153"/>
          </w:tcPr>
          <w:p>
            <w:pPr>
              <w:pStyle w:val="null3"/>
              <w:jc w:val="both"/>
            </w:pPr>
            <w:r>
              <w:rPr/>
              <w:t>根据投标人针对本项目提供的工作流程方案，由评标委员会进行评议并打分，内容包含但不限于：①流程方案；②技术方法；③技术手段。投标人所提供的方案：①方案内容齐全无缺漏项、与采购需求相符，每个方案要点均有展开详细的阐述，对项目理解深刻、内容具有针对性，整体思路结构清晰、逻辑性强，内容描述科学合理，细节考虑周全且能够适用于本项目的，得3分； ②方案内容齐全无缺漏项、与采购需求较为相符，每个方案要点均有展开阐述（但没有特别具体），对项目理解到位、部分内容具有针对性，整体思路结构较清晰、逻辑性较强，内容描述较科学合理的，细节考虑较周全且基本能够适用于本项目的，得2分； ③方案内容有缺项1项或无缺项但方案内容一般、简略且未展开详细阐述的，得1.5分； ④缺项2项及以上或内容明显不适用于本项目需求的均不得分。</w:t>
            </w:r>
          </w:p>
        </w:tc>
      </w:tr>
      <w:tr>
        <w:tc>
          <w:tcPr>
            <w:tcW w:type="dxa" w:w="3322"/>
          </w:tcPr>
          <w:p>
            <w:pPr>
              <w:pStyle w:val="null3"/>
              <w:jc w:val="both"/>
            </w:pPr>
            <w:r>
              <w:rPr/>
              <w:t>4、工作内容难重点分析方案</w:t>
            </w:r>
          </w:p>
        </w:tc>
        <w:tc>
          <w:tcPr>
            <w:tcW w:type="dxa" w:w="831"/>
          </w:tcPr>
          <w:p>
            <w:pPr>
              <w:pStyle w:val="null3"/>
              <w:jc w:val="right"/>
            </w:pPr>
            <w:r>
              <w:rPr/>
              <w:t>2.00</w:t>
            </w:r>
          </w:p>
        </w:tc>
        <w:tc>
          <w:tcPr>
            <w:tcW w:type="dxa" w:w="4153"/>
          </w:tcPr>
          <w:p>
            <w:pPr>
              <w:pStyle w:val="null3"/>
              <w:jc w:val="both"/>
            </w:pPr>
            <w:r>
              <w:rPr/>
              <w:t>根据投标人针对本项目提供的工作内容难重点分析方案，由评标委员会进行评议并打分，内容包含但不限于：①工作内容重点、难点和疑点问题把握；②关键点诊断；③解决措施。投标人所提供的方案：①方案内容齐全无缺漏项、与采购需求相符，每个方案要点均有展开详细的阐述，对项目理解深刻、内容具有针对性，整体思路结构清晰、逻辑性强，内容描述科学合理，细节考虑周全且能够适用于本项目的，得2分； ②方案内容齐全无缺漏项、与采购需求较为相符，每个方案要点均有展开阐述（但没有特别具体），对项目理解到位、部分内容具有针对性，整体思路结构较清晰、逻辑性较强，内容描述较科学合理的，细节考虑较周全且基本能够适用于本项目的，得1.5分； ③方案内容有缺项1项或无缺项但方案内容一般、简略且未展开详细阐述的，得1分； ④缺项2项及以上或内容明显不适用于本项目需求的均不得分。</w:t>
            </w:r>
          </w:p>
        </w:tc>
      </w:tr>
      <w:tr>
        <w:tc>
          <w:tcPr>
            <w:tcW w:type="dxa" w:w="3322"/>
          </w:tcPr>
          <w:p>
            <w:pPr>
              <w:pStyle w:val="null3"/>
              <w:jc w:val="both"/>
            </w:pPr>
            <w:r>
              <w:rPr/>
              <w:t>5、成果质量控制计划方案</w:t>
            </w:r>
          </w:p>
        </w:tc>
        <w:tc>
          <w:tcPr>
            <w:tcW w:type="dxa" w:w="831"/>
          </w:tcPr>
          <w:p>
            <w:pPr>
              <w:pStyle w:val="null3"/>
              <w:jc w:val="right"/>
            </w:pPr>
            <w:r>
              <w:rPr/>
              <w:t>3.00</w:t>
            </w:r>
          </w:p>
        </w:tc>
        <w:tc>
          <w:tcPr>
            <w:tcW w:type="dxa" w:w="4153"/>
          </w:tcPr>
          <w:p>
            <w:pPr>
              <w:pStyle w:val="null3"/>
              <w:jc w:val="both"/>
            </w:pPr>
            <w:r>
              <w:rPr/>
              <w:t>根据投标人针对本项目提供的成果质量控制计划方案，由评标委员会进行评议并打分，内容包含但不限于：①落实措施；②适用规范；③质量检验办法及验收标准。投标人所提供的方案：①方案内容齐全无缺漏项、与采购需求相符，每个方案要点均有展开详细的阐述，对项目理解深刻、内容具有针对性，整体思路结构清晰、逻辑性强，内容描述科学合理，细节考虑周全且能够适用于本项目的，得3分； ②方案内容齐全无缺漏项、与采购需求较为相符，每个方案要点均有展开阐述（但没有特别具体），对项目理解到位、部分内容具有针对性，整体思路结构较清晰、逻辑性较强，内容描述较科学合理的，细节考虑较周全且基本能够适用于本项目的，得2分； ③方案内容有缺项1项或无缺项但方案内容一般、简略且未展开详细阐述的，得1.5分； ④缺项2项及以上或内容明显不适用于本项目需求的均不得分。</w:t>
            </w:r>
          </w:p>
        </w:tc>
      </w:tr>
      <w:tr>
        <w:tc>
          <w:tcPr>
            <w:tcW w:type="dxa" w:w="3322"/>
          </w:tcPr>
          <w:p>
            <w:pPr>
              <w:pStyle w:val="null3"/>
              <w:jc w:val="both"/>
            </w:pPr>
            <w:r>
              <w:rPr/>
              <w:t>6、保密方案</w:t>
            </w:r>
          </w:p>
        </w:tc>
        <w:tc>
          <w:tcPr>
            <w:tcW w:type="dxa" w:w="831"/>
          </w:tcPr>
          <w:p>
            <w:pPr>
              <w:pStyle w:val="null3"/>
              <w:jc w:val="right"/>
            </w:pPr>
            <w:r>
              <w:rPr/>
              <w:t>2.00</w:t>
            </w:r>
          </w:p>
        </w:tc>
        <w:tc>
          <w:tcPr>
            <w:tcW w:type="dxa" w:w="4153"/>
          </w:tcPr>
          <w:p>
            <w:pPr>
              <w:pStyle w:val="null3"/>
              <w:jc w:val="both"/>
            </w:pPr>
            <w:r>
              <w:rPr/>
              <w:t>根据投标人针对本项目提供的保密方案，由评标委员会进行评议并打分，内容包含但不限于：①项目保密保管措施；②保密管理制度；③保密承诺。投标人所提供的方案：①方案内容齐全无缺漏项、与采购需求相符，每个方案要点均有展开详细的阐述，对项目理解深刻、内容具有针对性，整体思路结构清晰、逻辑性强，内容描述科学合理，细节考虑周全且能够适用于本项目的，得2分； ②方案内容齐全无缺漏项、与采购需求较为相符，每个方案要点均有展开阐述（但没有特别具体），对项目理解到位、部分内容具有针对性，整体思路结构较清晰、逻辑性较强，内容描述较科学合理的，细节考虑较周全且基本能够适用于本项目的，得1.5分； ③方案内容有缺项1项或无缺项但方案内容一般、简略且未展开详细阐述的，得1分； ④缺项2项及以上或内容明显不适用于本项目需求的均不得分。</w:t>
            </w:r>
          </w:p>
        </w:tc>
      </w:tr>
      <w:tr>
        <w:tc>
          <w:tcPr>
            <w:tcW w:type="dxa" w:w="3322"/>
          </w:tcPr>
          <w:p>
            <w:pPr>
              <w:pStyle w:val="null3"/>
              <w:jc w:val="both"/>
            </w:pPr>
            <w:r>
              <w:rPr/>
              <w:t>7、组织实施方案</w:t>
            </w:r>
          </w:p>
        </w:tc>
        <w:tc>
          <w:tcPr>
            <w:tcW w:type="dxa" w:w="831"/>
          </w:tcPr>
          <w:p>
            <w:pPr>
              <w:pStyle w:val="null3"/>
              <w:jc w:val="right"/>
            </w:pPr>
            <w:r>
              <w:rPr/>
              <w:t>2.00</w:t>
            </w:r>
          </w:p>
        </w:tc>
        <w:tc>
          <w:tcPr>
            <w:tcW w:type="dxa" w:w="4153"/>
          </w:tcPr>
          <w:p>
            <w:pPr>
              <w:pStyle w:val="null3"/>
              <w:jc w:val="both"/>
            </w:pPr>
            <w:r>
              <w:rPr/>
              <w:t>根据投标人针对本项目提供的组织实施方案，由评标委员会进行评议并打分，内容包含但不限于：①组织实施方案；②工作时间进度；③工作程序和步骤。投标人所提供的方案：①方案内容齐全无缺漏项、与采购需求相符，每个方案要点均有展开详细的阐述，对项目理解深刻、内容具有针对性，整体思路结构清晰、逻辑性强，内容描述科学合理，细节考虑周全且能够适用于本项目的，得2分； ②方案内容齐全无缺漏项、与采购需求较为相符，每个方案要点均有展开阐述（但没有特别具体），对项目理解到位、部分内容具有针对性，整体思路结构较清晰、逻辑性较强，内容描述较科学合理的，细节考虑较周全且基本能够适用于本项目的，得1.5分； ③方案内容有缺项1项或无缺项但方案内容一般、简略且未展开详细阐述的，得1分； ④缺项2项及以上或内容明显不适用于本项目需求的均不得分。</w:t>
            </w:r>
          </w:p>
        </w:tc>
      </w:tr>
      <w:tr>
        <w:tc>
          <w:tcPr>
            <w:tcW w:type="dxa" w:w="3322"/>
          </w:tcPr>
          <w:p>
            <w:pPr>
              <w:pStyle w:val="null3"/>
              <w:jc w:val="both"/>
            </w:pPr>
            <w:r>
              <w:rPr/>
              <w:t>8、项目负责人</w:t>
            </w:r>
          </w:p>
        </w:tc>
        <w:tc>
          <w:tcPr>
            <w:tcW w:type="dxa" w:w="831"/>
          </w:tcPr>
          <w:p>
            <w:pPr>
              <w:pStyle w:val="null3"/>
              <w:jc w:val="right"/>
            </w:pPr>
            <w:r>
              <w:rPr/>
              <w:t>2.00</w:t>
            </w:r>
          </w:p>
        </w:tc>
        <w:tc>
          <w:tcPr>
            <w:tcW w:type="dxa" w:w="4153"/>
          </w:tcPr>
          <w:p>
            <w:pPr>
              <w:pStyle w:val="null3"/>
              <w:jc w:val="both"/>
            </w:pPr>
            <w:r>
              <w:rPr/>
              <w:t>投标人拟投入本项目的项目负责人：①具有测绘类或土地管理类专业副高级及以上职称的得1分。②具有注册测绘师的得1分。满分2分。 投标人须提供上述人员的身份证正反面、相关证书复印件、投标截止时间前六个月内 (不含投标截止时间当月) 任意一个月由投标人为其缴纳的社保证明材料。未提供或提供不全的不得分。（注：本评审项人员不得兼任其他评审项岗位，否则不得分）</w:t>
            </w:r>
          </w:p>
        </w:tc>
      </w:tr>
      <w:tr>
        <w:tc>
          <w:tcPr>
            <w:tcW w:type="dxa" w:w="3322"/>
          </w:tcPr>
          <w:p>
            <w:pPr>
              <w:pStyle w:val="null3"/>
              <w:jc w:val="both"/>
            </w:pPr>
            <w:r>
              <w:rPr/>
              <w:t>9、技术负责人</w:t>
            </w:r>
          </w:p>
        </w:tc>
        <w:tc>
          <w:tcPr>
            <w:tcW w:type="dxa" w:w="831"/>
          </w:tcPr>
          <w:p>
            <w:pPr>
              <w:pStyle w:val="null3"/>
              <w:jc w:val="right"/>
            </w:pPr>
            <w:r>
              <w:rPr/>
              <w:t>2.00</w:t>
            </w:r>
          </w:p>
        </w:tc>
        <w:tc>
          <w:tcPr>
            <w:tcW w:type="dxa" w:w="4153"/>
          </w:tcPr>
          <w:p>
            <w:pPr>
              <w:pStyle w:val="null3"/>
              <w:jc w:val="both"/>
            </w:pPr>
            <w:r>
              <w:rPr/>
              <w:t>投标人拟投入本项目的技术负责人：①具有测绘类或土地管理类专业副高级及以上职称的得1分。②具有注册测绘师的得1分。满分2分。 投标人须提供上述人员的身份证正反面、相关证书复印件、投标截止时间前六个月内 (不含投标截止时间当月) 任意一个月由投标人为其缴纳的社保证明材料。未提供或提供不全的不得分。（注：本评审项人员不得兼任其他评审项岗位，否则不得分）</w:t>
            </w:r>
          </w:p>
        </w:tc>
      </w:tr>
      <w:tr>
        <w:tc>
          <w:tcPr>
            <w:tcW w:type="dxa" w:w="3322"/>
          </w:tcPr>
          <w:p>
            <w:pPr>
              <w:pStyle w:val="null3"/>
              <w:jc w:val="both"/>
            </w:pPr>
            <w:r>
              <w:rPr/>
              <w:t>10、质量安全负责人</w:t>
            </w:r>
          </w:p>
        </w:tc>
        <w:tc>
          <w:tcPr>
            <w:tcW w:type="dxa" w:w="831"/>
          </w:tcPr>
          <w:p>
            <w:pPr>
              <w:pStyle w:val="null3"/>
              <w:jc w:val="right"/>
            </w:pPr>
            <w:r>
              <w:rPr/>
              <w:t>2.00</w:t>
            </w:r>
          </w:p>
        </w:tc>
        <w:tc>
          <w:tcPr>
            <w:tcW w:type="dxa" w:w="4153"/>
          </w:tcPr>
          <w:p>
            <w:pPr>
              <w:pStyle w:val="null3"/>
              <w:jc w:val="both"/>
            </w:pPr>
            <w:r>
              <w:rPr/>
              <w:t>投标人拟投入本项目的质量安全负责人：①具有测绘类或土地管理类专业副高级及以上职称的得1分。②具有注册测绘师的得1分。满分2分。 投标人须提供上述人员的身份证正反面、相关证书复印件、投标截止时间前六个月内 (不含投标截止时间当月) 任意一个月由投标人为其缴纳的社保证明材料。未提供或提供不全的不得分。（注：本评审项人员不得兼任其他评审项岗位，否则不得分）</w:t>
            </w:r>
          </w:p>
        </w:tc>
      </w:tr>
      <w:tr>
        <w:tc>
          <w:tcPr>
            <w:tcW w:type="dxa" w:w="3322"/>
          </w:tcPr>
          <w:p>
            <w:pPr>
              <w:pStyle w:val="null3"/>
              <w:jc w:val="both"/>
            </w:pPr>
            <w:r>
              <w:rPr/>
              <w:t>11、数据管理人员</w:t>
            </w:r>
          </w:p>
        </w:tc>
        <w:tc>
          <w:tcPr>
            <w:tcW w:type="dxa" w:w="831"/>
          </w:tcPr>
          <w:p>
            <w:pPr>
              <w:pStyle w:val="null3"/>
              <w:jc w:val="right"/>
            </w:pPr>
            <w:r>
              <w:rPr/>
              <w:t>1.00</w:t>
            </w:r>
          </w:p>
        </w:tc>
        <w:tc>
          <w:tcPr>
            <w:tcW w:type="dxa" w:w="4153"/>
          </w:tcPr>
          <w:p>
            <w:pPr>
              <w:pStyle w:val="null3"/>
              <w:jc w:val="both"/>
            </w:pPr>
            <w:r>
              <w:rPr/>
              <w:t>投标人拟投入本项目的数据管理人员：①具有档案岗位培训合格证书的得1分。满分1分。 投标人须提供上述人员的身份证正反面、相关证书复印件、投标截止时间前六个月内 (不含投标截止时间当月) 任意一个月由投标人为其缴纳的社保证明材料。未提供或提供不全的不得分。（注：本评审项人员不得兼任其他评审项岗位，否则不得分）</w:t>
            </w:r>
          </w:p>
        </w:tc>
      </w:tr>
      <w:tr>
        <w:tc>
          <w:tcPr>
            <w:tcW w:type="dxa" w:w="3322"/>
          </w:tcPr>
          <w:p>
            <w:pPr>
              <w:pStyle w:val="null3"/>
              <w:jc w:val="both"/>
            </w:pPr>
            <w:r>
              <w:rPr/>
              <w:t>12、涉密测绘成果管理人员</w:t>
            </w:r>
          </w:p>
        </w:tc>
        <w:tc>
          <w:tcPr>
            <w:tcW w:type="dxa" w:w="831"/>
          </w:tcPr>
          <w:p>
            <w:pPr>
              <w:pStyle w:val="null3"/>
              <w:jc w:val="right"/>
            </w:pPr>
            <w:r>
              <w:rPr/>
              <w:t>2.00</w:t>
            </w:r>
          </w:p>
        </w:tc>
        <w:tc>
          <w:tcPr>
            <w:tcW w:type="dxa" w:w="4153"/>
          </w:tcPr>
          <w:p>
            <w:pPr>
              <w:pStyle w:val="null3"/>
              <w:jc w:val="both"/>
            </w:pPr>
            <w:r>
              <w:rPr/>
              <w:t>投标人拟投入本项目的涉密测绘成果管理人员：①具有测绘专业高级工程师资格的得1分。②具有涉密测绘成果管理人员岗位培训证书的得1分。满分2分。 投标人须提供上述人员的相关证书复印件、投标截止时间前六个月内 (不含投标截止时间当月) 任意一个月由投标人为其缴纳的社保证明材料。未提供或提供不全的不得分。（注：本评审项人员不得兼任其他评审项岗位，否则不得分）</w:t>
            </w:r>
          </w:p>
        </w:tc>
      </w:tr>
      <w:tr>
        <w:tc>
          <w:tcPr>
            <w:tcW w:type="dxa" w:w="3322"/>
          </w:tcPr>
          <w:p>
            <w:pPr>
              <w:pStyle w:val="null3"/>
              <w:jc w:val="both"/>
            </w:pPr>
            <w:r>
              <w:rPr/>
              <w:t>13、技术人员</w:t>
            </w:r>
          </w:p>
        </w:tc>
        <w:tc>
          <w:tcPr>
            <w:tcW w:type="dxa" w:w="831"/>
          </w:tcPr>
          <w:p>
            <w:pPr>
              <w:pStyle w:val="null3"/>
              <w:jc w:val="right"/>
            </w:pPr>
            <w:r>
              <w:rPr/>
              <w:t>3.00</w:t>
            </w:r>
          </w:p>
        </w:tc>
        <w:tc>
          <w:tcPr>
            <w:tcW w:type="dxa" w:w="4153"/>
          </w:tcPr>
          <w:p>
            <w:pPr>
              <w:pStyle w:val="null3"/>
              <w:jc w:val="both"/>
            </w:pPr>
            <w:r>
              <w:rPr/>
              <w:t>投标人拟投入本项目的技术人员：①具有中级及以上工程师职称的，每提供5名人员相关证书的得1分。满分3分。 投标人须提供上述人员的身份证正反面、相关证书复印件、投标截止时间前六个月内 (不含投标截止时间当月) 任意一个月由投标人为其缴纳的社保证明材料。未提供或提供不全的不得分。（注：本评审项人员不得兼任其他评审项岗位，否则不得分）</w:t>
            </w:r>
          </w:p>
        </w:tc>
      </w:tr>
    </w:tbl>
    <w:p>
      <w:pPr>
        <w:pStyle w:val="null3"/>
        <w:jc w:val="both"/>
      </w:pPr>
      <w:r>
        <w:rPr/>
        <w:t>商务项（F3×A3）满分为24.00分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1、售后服务方案</w:t>
            </w:r>
          </w:p>
        </w:tc>
        <w:tc>
          <w:tcPr>
            <w:tcW w:type="dxa" w:w="831"/>
          </w:tcPr>
          <w:p>
            <w:pPr>
              <w:pStyle w:val="null3"/>
              <w:jc w:val="right"/>
            </w:pPr>
            <w:r>
              <w:rPr/>
              <w:t>3.00</w:t>
            </w:r>
          </w:p>
        </w:tc>
        <w:tc>
          <w:tcPr>
            <w:tcW w:type="dxa" w:w="4153"/>
          </w:tcPr>
          <w:p>
            <w:pPr>
              <w:pStyle w:val="null3"/>
              <w:jc w:val="both"/>
            </w:pPr>
            <w:r>
              <w:rPr/>
              <w:t>根据投标人针对本项目提供的售后服务方案，由评标委员会进行评议并打分，内容包含但不限于：①售后服务工作内容；②工作程序和步骤；③技术支持响应速度是否及时。投标人所提供的方案：①方案内容齐全无缺漏项、与采购需求相符，每个方案要点均有展开详细的阐述，对项目理解深刻、内容具有针对性，整体思路结构清晰、逻辑性强，内容描述科学合理，细节考虑周全且能够适用于本项目的，得3分； ②方案内容齐全无缺漏项、与采购需求较为相符，每个方案要点均有展开阐述（但没有特别具体），对项目理解到位、部分内容具有针对性，整体思路结构较清晰、逻辑性较强，内容描述较科学合理的，细节考虑较周全且基本能够适用于本项目的，得2分； ③方案内容有缺项1项或无缺项但方案内容一般、简略且未展开详细阐述的，得1.5分； ④缺项2项及以上或内容明显不适用于本项目需求的均不得分。</w:t>
            </w:r>
          </w:p>
        </w:tc>
      </w:tr>
      <w:tr>
        <w:tc>
          <w:tcPr>
            <w:tcW w:type="dxa" w:w="3322"/>
          </w:tcPr>
          <w:p>
            <w:pPr>
              <w:pStyle w:val="null3"/>
              <w:jc w:val="both"/>
            </w:pPr>
            <w:r>
              <w:rPr/>
              <w:t>2、综合实力</w:t>
            </w:r>
          </w:p>
        </w:tc>
        <w:tc>
          <w:tcPr>
            <w:tcW w:type="dxa" w:w="831"/>
          </w:tcPr>
          <w:p>
            <w:pPr>
              <w:pStyle w:val="null3"/>
              <w:jc w:val="right"/>
            </w:pPr>
            <w:r>
              <w:rPr/>
              <w:t>3.00</w:t>
            </w:r>
          </w:p>
        </w:tc>
        <w:tc>
          <w:tcPr>
            <w:tcW w:type="dxa" w:w="4153"/>
          </w:tcPr>
          <w:p>
            <w:pPr>
              <w:pStyle w:val="null3"/>
              <w:jc w:val="both"/>
            </w:pPr>
            <w:r>
              <w:rPr/>
              <w:t>为保障服务质量，投标人具有测绘类计算机软件著作权登记证书的，每提供1个得0.5分，本项满分3分。投标人须提供相关证明材料复印件，未提供或所提供材料不能满足要求的不得分。</w:t>
            </w:r>
          </w:p>
        </w:tc>
      </w:tr>
      <w:tr>
        <w:tc>
          <w:tcPr>
            <w:tcW w:type="dxa" w:w="3322"/>
          </w:tcPr>
          <w:p>
            <w:pPr>
              <w:pStyle w:val="null3"/>
              <w:jc w:val="both"/>
            </w:pPr>
            <w:r>
              <w:rPr/>
              <w:t>3、以往服务案例</w:t>
            </w:r>
          </w:p>
        </w:tc>
        <w:tc>
          <w:tcPr>
            <w:tcW w:type="dxa" w:w="831"/>
          </w:tcPr>
          <w:p>
            <w:pPr>
              <w:pStyle w:val="null3"/>
              <w:jc w:val="right"/>
            </w:pPr>
            <w:r>
              <w:rPr/>
              <w:t>3.00</w:t>
            </w:r>
          </w:p>
        </w:tc>
        <w:tc>
          <w:tcPr>
            <w:tcW w:type="dxa" w:w="4153"/>
          </w:tcPr>
          <w:p>
            <w:pPr>
              <w:pStyle w:val="null3"/>
              <w:jc w:val="both"/>
            </w:pPr>
            <w:r>
              <w:rPr/>
              <w:t>3.1投标人自2020年1月1日起至本项目投标截止时间止，有编制过县级及以上国土空间总体规划类案例的，每提供1份以往服务案例证明资料的得1分，满分3分。投标人须提供以往服务案例的规划签订合同复印件等相关证明材料，未提供的或提供内容不符合评审要求的不得分。同一案例不与其他评审项重复计分。</w:t>
            </w:r>
          </w:p>
        </w:tc>
      </w:tr>
      <w:tr>
        <w:tc>
          <w:tcPr>
            <w:tcW w:type="dxa" w:w="3322"/>
          </w:tcPr>
          <w:p>
            <w:pPr>
              <w:pStyle w:val="null3"/>
              <w:jc w:val="both"/>
            </w:pPr>
            <w:r>
              <w:rPr/>
              <w:t>3、以往服务案例</w:t>
            </w:r>
          </w:p>
        </w:tc>
        <w:tc>
          <w:tcPr>
            <w:tcW w:type="dxa" w:w="831"/>
          </w:tcPr>
          <w:p>
            <w:pPr>
              <w:pStyle w:val="null3"/>
              <w:jc w:val="right"/>
            </w:pPr>
            <w:r>
              <w:rPr/>
              <w:t>2.00</w:t>
            </w:r>
          </w:p>
        </w:tc>
        <w:tc>
          <w:tcPr>
            <w:tcW w:type="dxa" w:w="4153"/>
          </w:tcPr>
          <w:p>
            <w:pPr>
              <w:pStyle w:val="null3"/>
              <w:jc w:val="both"/>
            </w:pPr>
            <w:r>
              <w:rPr/>
              <w:t>3.2投标人自2020年1月1日起至本项目投标截止时间止，有编制过县级及以上实用性村庄规划类案例的，每提供1份以往服务案例证明资料的得1分，满分2分。投标人须提供以往服务案例的实用性村庄规划项目的签订合同复印件等相关证明材料，未提供的或提供内容不符合评审要求的不得分。同一案例不与其他评审项重复计分。</w:t>
            </w:r>
          </w:p>
        </w:tc>
      </w:tr>
      <w:tr>
        <w:tc>
          <w:tcPr>
            <w:tcW w:type="dxa" w:w="3322"/>
          </w:tcPr>
          <w:p>
            <w:pPr>
              <w:pStyle w:val="null3"/>
              <w:jc w:val="both"/>
            </w:pPr>
            <w:r>
              <w:rPr/>
              <w:t>3、以往服务案例</w:t>
            </w:r>
          </w:p>
        </w:tc>
        <w:tc>
          <w:tcPr>
            <w:tcW w:type="dxa" w:w="831"/>
          </w:tcPr>
          <w:p>
            <w:pPr>
              <w:pStyle w:val="null3"/>
              <w:jc w:val="right"/>
            </w:pPr>
            <w:r>
              <w:rPr/>
              <w:t>2.00</w:t>
            </w:r>
          </w:p>
        </w:tc>
        <w:tc>
          <w:tcPr>
            <w:tcW w:type="dxa" w:w="4153"/>
          </w:tcPr>
          <w:p>
            <w:pPr>
              <w:pStyle w:val="null3"/>
              <w:jc w:val="both"/>
            </w:pPr>
            <w:r>
              <w:rPr/>
              <w:t>3.3投标单位提供2020年1月1日至投标截止时间前承担过自然资源监测类案例的，每提供1份以往服务案例证明资料的得1分，满分2分。投标人须提供以往服务案例的自然资源监测项目的签订合同或下达任务书复印件等相关证明材料，未提供的或提供内容不符合评审要求的不得分。同一案例不与其他评审项重复计分。</w:t>
            </w:r>
          </w:p>
        </w:tc>
      </w:tr>
      <w:tr>
        <w:tc>
          <w:tcPr>
            <w:tcW w:type="dxa" w:w="3322"/>
          </w:tcPr>
          <w:p>
            <w:pPr>
              <w:pStyle w:val="null3"/>
              <w:jc w:val="both"/>
            </w:pPr>
            <w:r>
              <w:rPr/>
              <w:t>3、以往服务案例</w:t>
            </w:r>
          </w:p>
        </w:tc>
        <w:tc>
          <w:tcPr>
            <w:tcW w:type="dxa" w:w="831"/>
          </w:tcPr>
          <w:p>
            <w:pPr>
              <w:pStyle w:val="null3"/>
              <w:jc w:val="right"/>
            </w:pPr>
            <w:r>
              <w:rPr/>
              <w:t>3.00</w:t>
            </w:r>
          </w:p>
        </w:tc>
        <w:tc>
          <w:tcPr>
            <w:tcW w:type="dxa" w:w="4153"/>
          </w:tcPr>
          <w:p>
            <w:pPr>
              <w:pStyle w:val="null3"/>
              <w:jc w:val="both"/>
            </w:pPr>
            <w:r>
              <w:rPr/>
              <w:t>3.4投标单位提供2020年1月1日至投标截止时间前承担过地理国情监测类案例的，每提供1份以往服务案例证明资料的得1分，满分3分。投标人须提供以往服务案例的地理国情监测项目的签订合同或下达任务书复印件等相关证明材料，未提供的或提供内容不符合评审要求的不得分。同一案例不与其他评审项重复计分。</w:t>
            </w:r>
          </w:p>
        </w:tc>
      </w:tr>
      <w:tr>
        <w:tc>
          <w:tcPr>
            <w:tcW w:type="dxa" w:w="3322"/>
          </w:tcPr>
          <w:p>
            <w:pPr>
              <w:pStyle w:val="null3"/>
              <w:jc w:val="both"/>
            </w:pPr>
            <w:r>
              <w:rPr/>
              <w:t>3、以往服务案例</w:t>
            </w:r>
          </w:p>
        </w:tc>
        <w:tc>
          <w:tcPr>
            <w:tcW w:type="dxa" w:w="831"/>
          </w:tcPr>
          <w:p>
            <w:pPr>
              <w:pStyle w:val="null3"/>
              <w:jc w:val="right"/>
            </w:pPr>
            <w:r>
              <w:rPr/>
              <w:t>3.00</w:t>
            </w:r>
          </w:p>
        </w:tc>
        <w:tc>
          <w:tcPr>
            <w:tcW w:type="dxa" w:w="4153"/>
          </w:tcPr>
          <w:p>
            <w:pPr>
              <w:pStyle w:val="null3"/>
              <w:jc w:val="both"/>
            </w:pPr>
            <w:r>
              <w:rPr/>
              <w:t>3.5投标单位提供2020年1月1日至投标截止时间前承担过国土变更调查类案例的，每提供1份以往服务案例证明资料的得1分，满分3分。投标人须提供以往服务案例的国土变更调查项目的签订合同或下达任务书复印件等相关证明材料，未提供的或提供内容不符合评审要求的不得分。同一案例不与其他评审项重复计分。</w:t>
            </w:r>
          </w:p>
        </w:tc>
      </w:tr>
      <w:tr>
        <w:tc>
          <w:tcPr>
            <w:tcW w:type="dxa" w:w="3322"/>
          </w:tcPr>
          <w:p>
            <w:pPr>
              <w:pStyle w:val="null3"/>
              <w:jc w:val="both"/>
            </w:pPr>
            <w:r>
              <w:rPr/>
              <w:t>3、以往服务案例</w:t>
            </w:r>
          </w:p>
        </w:tc>
        <w:tc>
          <w:tcPr>
            <w:tcW w:type="dxa" w:w="831"/>
          </w:tcPr>
          <w:p>
            <w:pPr>
              <w:pStyle w:val="null3"/>
              <w:jc w:val="right"/>
            </w:pPr>
            <w:r>
              <w:rPr/>
              <w:t>3.00</w:t>
            </w:r>
          </w:p>
        </w:tc>
        <w:tc>
          <w:tcPr>
            <w:tcW w:type="dxa" w:w="4153"/>
          </w:tcPr>
          <w:p>
            <w:pPr>
              <w:pStyle w:val="null3"/>
              <w:jc w:val="both"/>
            </w:pPr>
            <w:r>
              <w:rPr/>
              <w:t>3.6投标单位提供2018年1月1日至投标截止时间前承担过第三次全国国土调查类案例的，每提供1份以往服务案例证明资料的得1分，满分3分。投标人须提供以往服务案例的第三次全国国土调查项目的签订合同复印件等相关证明材料，未提供的或提供内容不符合评审要求的不得分。同一案例不与其他评审项重复计分。</w:t>
            </w:r>
          </w:p>
        </w:tc>
      </w:tr>
      <w:tr>
        <w:tc>
          <w:tcPr>
            <w:tcW w:type="dxa" w:w="3322"/>
          </w:tcPr>
          <w:p>
            <w:pPr>
              <w:pStyle w:val="null3"/>
              <w:jc w:val="both"/>
            </w:pPr>
            <w:r>
              <w:rPr/>
              <w:t>3、以往服务案例</w:t>
            </w:r>
          </w:p>
        </w:tc>
        <w:tc>
          <w:tcPr>
            <w:tcW w:type="dxa" w:w="831"/>
          </w:tcPr>
          <w:p>
            <w:pPr>
              <w:pStyle w:val="null3"/>
              <w:jc w:val="right"/>
            </w:pPr>
            <w:r>
              <w:rPr/>
              <w:t>2.00</w:t>
            </w:r>
          </w:p>
        </w:tc>
        <w:tc>
          <w:tcPr>
            <w:tcW w:type="dxa" w:w="4153"/>
          </w:tcPr>
          <w:p>
            <w:pPr>
              <w:pStyle w:val="null3"/>
              <w:jc w:val="both"/>
            </w:pPr>
            <w:r>
              <w:rPr/>
              <w:t>3.7投标单位提供2022年1月1日至投标截止时间前承担过卫片（卫星遥感影像图片）执法类案例的，每提供1份以往服务案例证明资料的得1分，满分2分。投标人须提供以往服务案例的卫片执法类案例签订合同或下达任务书复印件等相关证明材料，未提供的或提供内容不符合评审要求的不得分。同一案例不与其他评审项重复计分。</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6.08</w:t>
            </w:r>
          </w:p>
        </w:tc>
        <w:tc>
          <w:tcPr>
            <w:tcW w:type="dxa" w:w="4153"/>
          </w:tcPr>
          <w:p>
            <w:pPr>
              <w:pStyle w:val="null3"/>
              <w:jc w:val="both"/>
            </w:pPr>
            <w:r>
              <w:rPr/>
              <w:t>（1）执行《国务院办公厅关于建立政府强制采购节能产品制度的通知》(国办发[2007]51号)、财政部、发展改革委发布的《节能产品政府采购实施意见》(财库[2004]185号)以及《财政部 发展改革委 生态环境部 市场监管总局关于调整优化节能产品、环境标志产品政府采购执行机制的通知》（财库〔2019〕9号）的规定，即采购人拟采购的产品属于品目清单范围的，采购人及其委托的采购代理机构应当依据国家确定的认证机构出具的、处于有效期之内的节能产品、环境标志产品认证证书，对获得证书的产品实施政府优先采购或强制采购。 （2）本次采购货物属于《节能产品政府采购品目清单》、《环境标志产品政府采购品目清单》中政府强制采购产品的（具体品目以“★”标注），投标人所投产品必须是财政部、国家发展改革委公示的《节能产品政府采购品目清单》和财政部、生态环境部内公示的《环境标志产品政府采购品目清单》产品，并提供产品的证明资料复印件（国家确定的认证机构出具的、处于有效期之内的节能产品、环境标志产品认证证书）加盖投标人公章，否则投标无效。 （2）本次采购属于《节能产品政府采购品目清单》、《环境标志产品政府采购品目清单》中优先采购节能、环境标志产品的，投标人若提供国家确定的认证机构出具的、处于有效期之内的节能产品、环境标志产品认证证书则按以下优惠内容及幅度进行评审： ①若同一采购包内的节能、减排、环境标志产品报价总金额低于本采购包报价总金额20%(含20%)以下的，将分别给予节能、减排、环境标志产品价格评标项和技术评标项标准总分值4％的加分； ②若同一采购包内节能、减排、环境标志产品报价总金额占本采购包报价总金额20%-50%(含50%)的，将分别给予节能、减排、环境标志产品在价格评标项和技术评标项标准总分值6％的加分； ③若同一采购包内节能、减排、环境标志产品报价总金额占本采购包报价总金额50%以上的，将分别给予节能、减排、环境标志产品在价格评标项和技术评标项标准总分值8％的加分。 注：对于同时列入财政部、环境保护部公示的《环境标志产品政府采购品目清单》和财政部、国家发展改革委公示的《节能产品政府采购品目清单》的产品，应当优先于只获得其中一项认证的产品。投标人在投标时必须对属于节能、环境标志产品单独在节能(非强制类)、环境标志产品统计表中填写，并提供产品的证明资料复印件（国家确定的认证机构出具的、处于有效期之内的节能产品、环境标志产品认证证书）附在报价部分(电子证明资料应上传在对应评分模块)且加盖投标人公章。未单独分项报价或未按规定提供产品的证明资料的不给予价格扣除。若节能、环境标志清单内的产品仅是构成投标产品的部件、组件或零件的，则该投标产品不享受鼓励优惠政策。评标委员会审查此项响应性只根据投标文件本身的内容，而不寻求其他的外部证据。(本文件中其他有关附加部分评审中节能、环境标志产品描述情况与此处不一致，以此处为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p>
    <w:p>
      <w:pPr>
        <w:pStyle w:val="null3"/>
        <w:jc w:val="both"/>
      </w:pPr>
      <w:r>
        <w:rPr/>
        <w:t>无</w:t>
      </w:r>
    </w:p>
    <w:p>
      <w:pPr>
        <w:pStyle w:val="null3"/>
      </w:pPr>
    </w:p>
    <w:p>
      <w:pPr>
        <w:pStyle w:val="null3"/>
      </w:pPr>
      <w:r>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20"/>
        <w:jc w:val="both"/>
      </w:pPr>
    </w:p>
    <w:p>
      <w:pPr>
        <w:pStyle w:val="null3"/>
        <w:ind w:firstLine="420"/>
        <w:jc w:val="both"/>
      </w:pPr>
      <w:r>
        <w:rPr>
          <w:rFonts w:ascii="宋体" w:hAnsi="宋体" w:cs="宋体" w:eastAsia="宋体"/>
          <w:color w:val="0A82E5"/>
          <w:sz w:val="24"/>
          <w:shd w:fill="FFFFFF" w:val="clear"/>
        </w:rPr>
        <w:t>1、本项目为闽清县耕地和永久基本农田划定成果核实处置工作项目，采购单位为闽清县自然资源和规划局。投标人应对本项目具体情况进行了解，并具备一定的项目实施及服务响应能力，能根据项目特点进行分析，并为本项目制定有关方案；同时具有相关管理制度以及标准，为采购人提供优质、高效、有序的服务。</w:t>
      </w:r>
    </w:p>
    <w:p>
      <w:pPr>
        <w:pStyle w:val="null3"/>
        <w:ind w:firstLine="422"/>
        <w:jc w:val="both"/>
      </w:pPr>
      <w:r>
        <w:rPr>
          <w:rFonts w:ascii="宋体" w:hAnsi="宋体" w:cs="宋体" w:eastAsia="宋体"/>
          <w:b/>
          <w:color w:val="0A82E5"/>
          <w:sz w:val="24"/>
          <w:shd w:fill="FFFFFF" w:val="clear"/>
        </w:rPr>
        <w:t>2、省级下发永久基本农田情况：本轮省级下发疑似问题图斑总计14253个，面积93328.20亩。自然资源部下发2022年度变更数据库为非耕地图斑1022个，总面积1566.90亩，其中永久基本农田非耕地640个，面积1115.48亩。</w:t>
      </w:r>
    </w:p>
    <w:p>
      <w:pPr>
        <w:pStyle w:val="null3"/>
        <w:ind w:firstLine="420"/>
        <w:jc w:val="both"/>
      </w:pPr>
      <w:r>
        <w:rPr>
          <w:rFonts w:ascii="宋体" w:hAnsi="宋体" w:cs="宋体" w:eastAsia="宋体"/>
          <w:color w:val="0A82E5"/>
          <w:sz w:val="24"/>
          <w:shd w:fill="FFFFFF" w:val="clear"/>
        </w:rPr>
        <w:t>3、投标人应以包括服务所涉及的有关项目的所有费用进行报价，采购人不再承担任何费用。投标人还需考虑到合同中可能出现的索赔和变更。</w:t>
      </w:r>
    </w:p>
    <w:p>
      <w:pPr>
        <w:pStyle w:val="null3"/>
        <w:ind w:firstLine="420"/>
        <w:jc w:val="both"/>
      </w:pPr>
      <w:r>
        <w:rPr>
          <w:rFonts w:ascii="宋体" w:hAnsi="宋体" w:cs="宋体" w:eastAsia="宋体"/>
          <w:color w:val="0A82E5"/>
          <w:sz w:val="24"/>
          <w:shd w:fill="FFFFFF" w:val="clear"/>
        </w:rPr>
        <w:t>4、投标人对同一采购包内所有品目号内容投标时必须完整。评标与授标以采购包为单位。</w:t>
      </w:r>
    </w:p>
    <w:p>
      <w:pPr>
        <w:pStyle w:val="null3"/>
        <w:ind w:firstLine="420"/>
        <w:jc w:val="both"/>
      </w:pPr>
    </w:p>
    <w:p>
      <w:pPr>
        <w:pStyle w:val="null3"/>
        <w:ind w:firstLine="420"/>
        <w:jc w:val="both"/>
      </w:pPr>
    </w:p>
    <w:p>
      <w:pPr>
        <w:pStyle w:val="null3"/>
        <w:jc w:val="both"/>
        <w:outlineLvl w:val="2"/>
      </w:pPr>
      <w:r>
        <w:rPr>
          <w:b/>
          <w:sz w:val="28"/>
        </w:rPr>
        <w:t>二、技术和服务要求（以“★”标示的内容为不允许负偏离的实质性要求）</w:t>
      </w:r>
    </w:p>
    <w:p>
      <w:pPr>
        <w:pStyle w:val="null3"/>
        <w:jc w:val="left"/>
      </w:pPr>
    </w:p>
    <w:p>
      <w:pPr>
        <w:pStyle w:val="null3"/>
      </w:pPr>
    </w:p>
    <w:p>
      <w:pPr>
        <w:pStyle w:val="null3"/>
        <w:ind w:firstLine="420"/>
        <w:jc w:val="both"/>
      </w:pPr>
      <w:r>
        <w:rPr>
          <w:rFonts w:ascii="宋体" w:hAnsi="宋体" w:cs="宋体" w:eastAsia="宋体"/>
          <w:b/>
          <w:sz w:val="24"/>
          <w:shd w:fill="FFFFFF" w:val="clear"/>
        </w:rPr>
        <w:t>（一）主要工作内容及成果深度要求</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1）★1、建设目标</w:t>
      </w:r>
    </w:p>
    <w:p>
      <w:pPr>
        <w:pStyle w:val="null3"/>
        <w:ind w:firstLine="422"/>
        <w:jc w:val="both"/>
      </w:pPr>
      <w:r>
        <w:rPr>
          <w:rFonts w:ascii="宋体" w:hAnsi="宋体" w:cs="宋体" w:eastAsia="宋体"/>
          <w:b/>
          <w:sz w:val="24"/>
          <w:shd w:fill="FFFFFF" w:val="clear"/>
        </w:rPr>
        <w:t>1、在自然资源部下发的非耕地图斑（图斑1022个，面积1566.9亩）和省自然资源厅下发的疑似问题图斑（图斑14253个，面积93362.92亩）基础上，对闽清县“三区三线”划定的耕地14.095万亩（其中永久基本农田12.828万亩）开展实地核查与细化标注工作，全面摸清图斑地块实地利用现状情况，细化图斑类型，并形成图斑标注数据库和核查情况清单。</w:t>
      </w:r>
    </w:p>
    <w:p>
      <w:pPr>
        <w:pStyle w:val="null3"/>
        <w:ind w:firstLine="422"/>
        <w:jc w:val="both"/>
      </w:pPr>
      <w:r>
        <w:rPr>
          <w:rFonts w:ascii="宋体" w:hAnsi="宋体" w:cs="宋体" w:eastAsia="宋体"/>
          <w:b/>
          <w:sz w:val="24"/>
          <w:shd w:fill="FFFFFF" w:val="clear"/>
        </w:rPr>
        <w:t>2、对闽清县“三区三线”划定的永久基本农田范围内的非耕地图斑（2022年度国土变更调查成果为非耕地），区分不同情形，实行整改恢复和调整补划相结合的方式进行分类处置，于2023年底前恢复或调整补划到位，确保本行政区域内耕地和永久基本农田数量不减少、质量不降低。</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2）★2、建设依据</w:t>
      </w:r>
    </w:p>
    <w:p>
      <w:pPr>
        <w:pStyle w:val="null3"/>
        <w:ind w:firstLine="422"/>
        <w:jc w:val="both"/>
      </w:pPr>
      <w:r>
        <w:rPr>
          <w:rFonts w:ascii="宋体" w:hAnsi="宋体" w:cs="宋体" w:eastAsia="宋体"/>
          <w:b/>
          <w:sz w:val="24"/>
          <w:shd w:fill="FFFFFF" w:val="clear"/>
        </w:rPr>
        <w:t>《自然资源部</w:t>
      </w:r>
      <w:r>
        <w:rPr>
          <w:rFonts w:ascii="宋体" w:hAnsi="宋体" w:cs="宋体" w:eastAsia="宋体"/>
          <w:b/>
          <w:sz w:val="24"/>
          <w:shd w:fill="FFFFFF" w:val="clear"/>
        </w:rPr>
        <w:t>农业农村部</w:t>
      </w:r>
      <w:r>
        <w:rPr>
          <w:rFonts w:ascii="宋体" w:hAnsi="宋体" w:cs="宋体" w:eastAsia="宋体"/>
          <w:b/>
          <w:sz w:val="24"/>
          <w:shd w:fill="FFFFFF" w:val="clear"/>
        </w:rPr>
        <w:t>国家林业和草原局关于严格耕地用途管制有关问题的通知》（自然资发〔</w:t>
      </w:r>
      <w:r>
        <w:rPr>
          <w:rFonts w:ascii="宋体" w:hAnsi="宋体" w:cs="宋体" w:eastAsia="宋体"/>
          <w:b/>
          <w:sz w:val="24"/>
          <w:shd w:fill="FFFFFF" w:val="clear"/>
        </w:rPr>
        <w:t>2021〕166号）；《福建省自然资源厅关于印发&lt;福建省耕地保护责任落实年工作方案&gt;》（闽自然资发〔2023〕7号）；《福建省自然资源厅 福建省水利厅 福建省农业农村厅 福建省林业局 福建省海洋与渔业局关于进一步严格落实耕地进出平衡的通知》（闽自然资发〔2023〕8号）；《第三次全国国土调查技术规程》（TD/T 1055—2019）；《土地利用现状分类》（GB/T 21010-2017）；《国土调查数据库标准》（TD/T 1057-2020）；《自然资源部办公厅关于严肃开展耕地和永久基本农田划定成果核实处置工作的通知》</w:t>
      </w:r>
      <w:r>
        <w:rPr>
          <w:rFonts w:ascii="宋体" w:hAnsi="宋体" w:cs="宋体" w:eastAsia="宋体"/>
          <w:b/>
          <w:sz w:val="24"/>
          <w:shd w:fill="FFFFFF" w:val="clear"/>
        </w:rPr>
        <w:t>（</w:t>
      </w:r>
      <w:r>
        <w:rPr>
          <w:rFonts w:ascii="宋体" w:hAnsi="宋体" w:cs="宋体" w:eastAsia="宋体"/>
          <w:b/>
          <w:sz w:val="24"/>
          <w:shd w:fill="FFFFFF" w:val="clear"/>
        </w:rPr>
        <w:t>自然资办发〔</w:t>
      </w:r>
      <w:r>
        <w:rPr>
          <w:rFonts w:ascii="宋体" w:hAnsi="宋体" w:cs="宋体" w:eastAsia="宋体"/>
          <w:b/>
          <w:sz w:val="24"/>
          <w:shd w:fill="FFFFFF" w:val="clear"/>
        </w:rPr>
        <w:t>2023〕25号</w:t>
      </w:r>
      <w:r>
        <w:rPr>
          <w:rFonts w:ascii="宋体" w:hAnsi="宋体" w:cs="宋体" w:eastAsia="宋体"/>
          <w:b/>
          <w:sz w:val="24"/>
          <w:shd w:fill="FFFFFF" w:val="clear"/>
        </w:rPr>
        <w:t>）；《</w:t>
      </w:r>
      <w:r>
        <w:rPr>
          <w:rFonts w:ascii="宋体" w:hAnsi="宋体" w:cs="宋体" w:eastAsia="宋体"/>
          <w:b/>
          <w:sz w:val="24"/>
          <w:shd w:fill="FFFFFF" w:val="clear"/>
        </w:rPr>
        <w:t>福州市永久基本农田核实整改工作方案</w:t>
      </w:r>
      <w:r>
        <w:rPr>
          <w:rFonts w:ascii="宋体" w:hAnsi="宋体" w:cs="宋体" w:eastAsia="宋体"/>
          <w:b/>
          <w:sz w:val="24"/>
          <w:shd w:fill="FFFFFF" w:val="clear"/>
        </w:rPr>
        <w:t>》（</w:t>
      </w:r>
      <w:r>
        <w:rPr>
          <w:rFonts w:ascii="宋体" w:hAnsi="宋体" w:cs="宋体" w:eastAsia="宋体"/>
          <w:b/>
          <w:sz w:val="24"/>
          <w:shd w:fill="FFFFFF" w:val="clear"/>
        </w:rPr>
        <w:t>榕自然综〔</w:t>
      </w:r>
      <w:r>
        <w:rPr>
          <w:rFonts w:ascii="宋体" w:hAnsi="宋体" w:cs="宋体" w:eastAsia="宋体"/>
          <w:b/>
          <w:sz w:val="24"/>
          <w:shd w:fill="FFFFFF" w:val="clear"/>
        </w:rPr>
        <w:t>2023〕539号</w:t>
      </w:r>
      <w:r>
        <w:rPr>
          <w:rFonts w:ascii="宋体" w:hAnsi="宋体" w:cs="宋体" w:eastAsia="宋体"/>
          <w:b/>
          <w:sz w:val="24"/>
          <w:shd w:fill="FFFFFF" w:val="clear"/>
        </w:rPr>
        <w:t>）。</w:t>
      </w:r>
    </w:p>
    <w:p>
      <w:pPr>
        <w:pStyle w:val="null3"/>
        <w:ind w:firstLine="422"/>
        <w:jc w:val="both"/>
      </w:pPr>
      <w:r>
        <w:rPr>
          <w:rFonts w:ascii="宋体" w:hAnsi="宋体" w:cs="宋体" w:eastAsia="宋体"/>
          <w:b/>
          <w:sz w:val="24"/>
          <w:shd w:fill="FFFFFF" w:val="clear"/>
        </w:rPr>
        <w:t>注：如因国家、省、市关于本项目的政策、实施方案调整，应按调整的内容要求完成本项目。</w:t>
      </w:r>
      <w:r>
        <w:rPr>
          <w:rFonts w:ascii="宋体" w:hAnsi="宋体" w:cs="宋体" w:eastAsia="宋体"/>
          <w:b/>
          <w:sz w:val="24"/>
          <w:shd w:fill="FFFFFF" w:val="clear"/>
        </w:rPr>
        <w:t xml:space="preserve"> </w:t>
      </w:r>
    </w:p>
    <w:p>
      <w:pPr>
        <w:pStyle w:val="null3"/>
        <w:ind w:firstLine="422"/>
        <w:jc w:val="both"/>
      </w:pPr>
      <w:r>
        <w:rPr>
          <w:rFonts w:ascii="宋体" w:hAnsi="宋体" w:cs="宋体" w:eastAsia="宋体"/>
          <w:b/>
          <w:sz w:val="24"/>
          <w:shd w:fill="FFFFFF" w:val="clear"/>
        </w:rPr>
        <w:t>3、项目建设内容</w:t>
      </w:r>
    </w:p>
    <w:p>
      <w:pPr>
        <w:pStyle w:val="null3"/>
        <w:ind w:firstLine="422"/>
        <w:jc w:val="both"/>
      </w:pPr>
      <w:r>
        <w:rPr>
          <w:rFonts w:ascii="宋体" w:hAnsi="宋体" w:cs="宋体" w:eastAsia="宋体"/>
          <w:b/>
          <w:sz w:val="24"/>
          <w:shd w:fill="FFFFFF" w:val="clear"/>
        </w:rPr>
        <w:t>3.1基础资料收集</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3）</w:t>
      </w:r>
      <w:r>
        <w:rPr>
          <w:rFonts w:ascii="宋体" w:hAnsi="宋体" w:cs="宋体" w:eastAsia="宋体"/>
          <w:sz w:val="24"/>
          <w:shd w:fill="FFFFFF" w:val="clear"/>
        </w:rPr>
        <w:t>主要包括省厅下发的数据库（包括永农中</w:t>
      </w:r>
      <w:r>
        <w:rPr>
          <w:rFonts w:ascii="宋体" w:hAnsi="宋体" w:cs="宋体" w:eastAsia="宋体"/>
          <w:sz w:val="24"/>
          <w:shd w:fill="FFFFFF" w:val="clear"/>
        </w:rPr>
        <w:t>22变更数据库为非耕地图斑图层、疑似问题图斑图层、疑似问题图斑与审批重叠参考图层、永农范围参考图层）、最新年度变更调查成果、2009-2022年度遥感影像图、最新用地管理信息、永久基本农田范围内少量已依法办理用地手续相关材料等项目所需资料。</w:t>
      </w:r>
    </w:p>
    <w:p>
      <w:pPr>
        <w:pStyle w:val="null3"/>
        <w:ind w:firstLine="422"/>
        <w:jc w:val="both"/>
      </w:pPr>
      <w:r>
        <w:rPr>
          <w:rFonts w:ascii="宋体" w:hAnsi="宋体" w:cs="宋体" w:eastAsia="宋体"/>
          <w:b/>
          <w:sz w:val="24"/>
          <w:shd w:fill="FFFFFF" w:val="clear"/>
        </w:rPr>
        <w:t>3.2工作底图制作</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4）</w:t>
      </w:r>
      <w:r>
        <w:rPr>
          <w:rFonts w:ascii="宋体" w:hAnsi="宋体" w:cs="宋体" w:eastAsia="宋体"/>
          <w:sz w:val="24"/>
          <w:shd w:fill="FFFFFF" w:val="clear"/>
        </w:rPr>
        <w:t>（</w:t>
      </w:r>
      <w:r>
        <w:rPr>
          <w:rFonts w:ascii="宋体" w:hAnsi="宋体" w:cs="宋体" w:eastAsia="宋体"/>
          <w:sz w:val="24"/>
          <w:shd w:fill="FFFFFF" w:val="clear"/>
        </w:rPr>
        <w:t>1）对省级下发各类问题图斑数据进行叠加分析，套合最新遥感影像图，以乡镇为单位，制作耕地图斑整改工作底图。</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5）</w:t>
      </w:r>
      <w:r>
        <w:rPr>
          <w:rFonts w:ascii="宋体" w:hAnsi="宋体" w:cs="宋体" w:eastAsia="宋体"/>
          <w:sz w:val="24"/>
          <w:shd w:fill="FFFFFF" w:val="clear"/>
        </w:rPr>
        <w:t>（</w:t>
      </w:r>
      <w:r>
        <w:rPr>
          <w:rFonts w:ascii="宋体" w:hAnsi="宋体" w:cs="宋体" w:eastAsia="宋体"/>
          <w:sz w:val="24"/>
          <w:shd w:fill="FFFFFF" w:val="clear"/>
        </w:rPr>
        <w:t>2）以全县永农范围图层作为排查对象，对全县永农开展实地核查摸排，建立永农摸排调查工作底图。</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6）</w:t>
      </w:r>
      <w:r>
        <w:rPr>
          <w:rFonts w:ascii="宋体" w:hAnsi="宋体" w:cs="宋体" w:eastAsia="宋体"/>
          <w:sz w:val="24"/>
          <w:shd w:fill="FFFFFF" w:val="clear"/>
        </w:rPr>
        <w:t>（</w:t>
      </w:r>
      <w:r>
        <w:rPr>
          <w:rFonts w:ascii="宋体" w:hAnsi="宋体" w:cs="宋体" w:eastAsia="宋体"/>
          <w:sz w:val="24"/>
          <w:shd w:fill="FFFFFF" w:val="clear"/>
        </w:rPr>
        <w:t>3）以耕地保护目标图层作为排查对象，建立耕地保护目标调查工作底图。</w:t>
      </w:r>
    </w:p>
    <w:p>
      <w:pPr>
        <w:pStyle w:val="null3"/>
        <w:ind w:firstLine="422"/>
        <w:jc w:val="both"/>
      </w:pPr>
      <w:r>
        <w:rPr>
          <w:rFonts w:ascii="宋体" w:hAnsi="宋体" w:cs="宋体" w:eastAsia="宋体"/>
          <w:b/>
          <w:sz w:val="24"/>
          <w:shd w:fill="FFFFFF" w:val="clear"/>
        </w:rPr>
        <w:t>3.3实地核查举证</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7）</w:t>
      </w:r>
      <w:r>
        <w:rPr>
          <w:rFonts w:ascii="宋体" w:hAnsi="宋体" w:cs="宋体" w:eastAsia="宋体"/>
          <w:sz w:val="24"/>
          <w:shd w:fill="FFFFFF" w:val="clear"/>
        </w:rPr>
        <w:t>利用已制作完成的工作底图，对</w:t>
      </w:r>
      <w:r>
        <w:rPr>
          <w:rFonts w:ascii="宋体" w:hAnsi="宋体" w:cs="宋体" w:eastAsia="宋体"/>
          <w:sz w:val="24"/>
          <w:shd w:fill="FFFFFF" w:val="clear"/>
        </w:rPr>
        <w:t>闽清县</w:t>
      </w:r>
      <w:r>
        <w:rPr>
          <w:rFonts w:ascii="宋体" w:hAnsi="宋体" w:cs="宋体" w:eastAsia="宋体"/>
          <w:sz w:val="24"/>
          <w:shd w:fill="FFFFFF" w:val="clear"/>
        </w:rPr>
        <w:t>“三区三线”划定的耕地和永久基本农田</w:t>
      </w:r>
      <w:r>
        <w:rPr>
          <w:rFonts w:ascii="宋体" w:hAnsi="宋体" w:cs="宋体" w:eastAsia="宋体"/>
          <w:sz w:val="24"/>
          <w:shd w:fill="FFFFFF" w:val="clear"/>
        </w:rPr>
        <w:t>开展实地核查与细化标注工作，全面摸清图斑地块实地利用现状情况，细化图斑类型，并形成图斑标注数据库和核查情况清单。</w:t>
      </w:r>
    </w:p>
    <w:p>
      <w:pPr>
        <w:pStyle w:val="null3"/>
        <w:ind w:firstLine="422"/>
        <w:jc w:val="both"/>
      </w:pPr>
      <w:r>
        <w:rPr>
          <w:rFonts w:ascii="宋体" w:hAnsi="宋体" w:cs="宋体" w:eastAsia="宋体"/>
          <w:b/>
          <w:sz w:val="24"/>
          <w:shd w:fill="FFFFFF" w:val="clear"/>
        </w:rPr>
        <w:t>3.4协助制定疑似问题图斑整改方案</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8）</w:t>
      </w:r>
      <w:r>
        <w:rPr>
          <w:rFonts w:ascii="宋体" w:hAnsi="宋体" w:cs="宋体" w:eastAsia="宋体"/>
          <w:sz w:val="24"/>
          <w:shd w:fill="FFFFFF" w:val="clear"/>
        </w:rPr>
        <w:t>在完成疑似问题图斑实地核查与标注工作后，针对核查发现的问题图斑情况，区分问题性质和整改难易程度，协助分类制定县级整改方案。</w:t>
      </w:r>
    </w:p>
    <w:p>
      <w:pPr>
        <w:pStyle w:val="null3"/>
        <w:ind w:firstLine="422"/>
        <w:jc w:val="both"/>
      </w:pPr>
      <w:r>
        <w:rPr>
          <w:rFonts w:ascii="宋体" w:hAnsi="宋体" w:cs="宋体" w:eastAsia="宋体"/>
          <w:b/>
          <w:sz w:val="24"/>
          <w:shd w:fill="FFFFFF" w:val="clear"/>
        </w:rPr>
        <w:t>3.5协助做好问题图斑分类整改工作</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9）</w:t>
      </w:r>
      <w:r>
        <w:rPr>
          <w:rFonts w:ascii="宋体" w:hAnsi="宋体" w:cs="宋体" w:eastAsia="宋体"/>
          <w:sz w:val="24"/>
          <w:shd w:fill="FFFFFF" w:val="clear"/>
        </w:rPr>
        <w:t>根据核实整改方案，协助自然资源主管部门开展实地分类整改处置工作。</w:t>
      </w:r>
    </w:p>
    <w:p>
      <w:pPr>
        <w:pStyle w:val="null3"/>
        <w:ind w:firstLine="422"/>
        <w:jc w:val="both"/>
      </w:pPr>
      <w:r>
        <w:rPr>
          <w:rFonts w:ascii="宋体" w:hAnsi="宋体" w:cs="宋体" w:eastAsia="宋体"/>
          <w:b/>
          <w:sz w:val="24"/>
          <w:shd w:fill="FFFFFF" w:val="clear"/>
        </w:rPr>
        <w:t>3.6整改成果实地举证</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10）</w:t>
      </w:r>
      <w:r>
        <w:rPr>
          <w:rFonts w:ascii="宋体" w:hAnsi="宋体" w:cs="宋体" w:eastAsia="宋体"/>
          <w:sz w:val="24"/>
          <w:shd w:fill="FFFFFF" w:val="clear"/>
        </w:rPr>
        <w:t>通过</w:t>
      </w:r>
      <w:r>
        <w:rPr>
          <w:rFonts w:ascii="宋体" w:hAnsi="宋体" w:cs="宋体" w:eastAsia="宋体"/>
          <w:sz w:val="24"/>
          <w:shd w:fill="FFFFFF" w:val="clear"/>
        </w:rPr>
        <w:t>“国土调查云”平台等相关技术手段对整改后图斑的实地情况进行举证。</w:t>
      </w:r>
    </w:p>
    <w:p>
      <w:pPr>
        <w:pStyle w:val="null3"/>
        <w:ind w:firstLine="422"/>
        <w:jc w:val="both"/>
      </w:pPr>
      <w:r>
        <w:rPr>
          <w:rFonts w:ascii="宋体" w:hAnsi="宋体" w:cs="宋体" w:eastAsia="宋体"/>
          <w:b/>
          <w:sz w:val="24"/>
          <w:shd w:fill="FFFFFF" w:val="clear"/>
        </w:rPr>
        <w:t>3.7成果编制</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11）</w:t>
      </w:r>
      <w:r>
        <w:rPr>
          <w:rFonts w:ascii="宋体" w:hAnsi="宋体" w:cs="宋体" w:eastAsia="宋体"/>
          <w:sz w:val="24"/>
          <w:shd w:fill="FFFFFF" w:val="clear"/>
        </w:rPr>
        <w:t>（</w:t>
      </w:r>
      <w:r>
        <w:rPr>
          <w:rFonts w:ascii="宋体" w:hAnsi="宋体" w:cs="宋体" w:eastAsia="宋体"/>
          <w:sz w:val="24"/>
          <w:shd w:fill="FFFFFF" w:val="clear"/>
        </w:rPr>
        <w:t>1）外业摸排完成后，按照分类处置方案完成摸排成果数据库建设</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12）</w:t>
      </w:r>
      <w:r>
        <w:rPr>
          <w:rFonts w:ascii="宋体" w:hAnsi="宋体" w:cs="宋体" w:eastAsia="宋体"/>
          <w:sz w:val="24"/>
          <w:shd w:fill="FFFFFF" w:val="clear"/>
        </w:rPr>
        <w:t>（</w:t>
      </w:r>
      <w:r>
        <w:rPr>
          <w:rFonts w:ascii="宋体" w:hAnsi="宋体" w:cs="宋体" w:eastAsia="宋体"/>
          <w:sz w:val="24"/>
          <w:shd w:fill="FFFFFF" w:val="clear"/>
        </w:rPr>
        <w:t>2）结合整改后、调出图斑的实地举证成果，对调出图斑进行梳理，整理举证材料，形成核实处置数据库和结果报告。</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13）</w:t>
      </w:r>
      <w:r>
        <w:rPr>
          <w:rFonts w:ascii="宋体" w:hAnsi="宋体" w:cs="宋体" w:eastAsia="宋体"/>
          <w:sz w:val="24"/>
          <w:shd w:fill="FFFFFF" w:val="clear"/>
        </w:rPr>
        <w:t>（</w:t>
      </w:r>
      <w:r>
        <w:rPr>
          <w:rFonts w:ascii="宋体" w:hAnsi="宋体" w:cs="宋体" w:eastAsia="宋体"/>
          <w:sz w:val="24"/>
          <w:shd w:fill="FFFFFF" w:val="clear"/>
        </w:rPr>
        <w:t>3）建立全县永农核实处置数据库。</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14）</w:t>
      </w:r>
      <w:r>
        <w:rPr>
          <w:rFonts w:ascii="宋体" w:hAnsi="宋体" w:cs="宋体" w:eastAsia="宋体"/>
          <w:sz w:val="24"/>
          <w:shd w:fill="FFFFFF" w:val="clear"/>
        </w:rPr>
        <w:t>（</w:t>
      </w:r>
      <w:r>
        <w:rPr>
          <w:rFonts w:ascii="宋体" w:hAnsi="宋体" w:cs="宋体" w:eastAsia="宋体"/>
          <w:sz w:val="24"/>
          <w:shd w:fill="FFFFFF" w:val="clear"/>
        </w:rPr>
        <w:t>4）永久基本农田调整汇交数据及相关成果。</w:t>
      </w:r>
    </w:p>
    <w:p>
      <w:pPr>
        <w:pStyle w:val="null3"/>
        <w:ind w:firstLine="422"/>
        <w:jc w:val="both"/>
      </w:pPr>
      <w:r>
        <w:rPr>
          <w:rFonts w:ascii="宋体" w:hAnsi="宋体" w:cs="宋体" w:eastAsia="宋体"/>
          <w:b/>
          <w:sz w:val="24"/>
          <w:shd w:fill="FFFFFF" w:val="clear"/>
        </w:rPr>
        <w:t>3.8协助完成整改成果验收抽查</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15）</w:t>
      </w:r>
      <w:r>
        <w:rPr>
          <w:rFonts w:ascii="宋体" w:hAnsi="宋体" w:cs="宋体" w:eastAsia="宋体"/>
          <w:sz w:val="24"/>
          <w:shd w:fill="FFFFFF" w:val="clear"/>
        </w:rPr>
        <w:t>协助完成整改成果上级内业核实审查、外业抽查验收汇报工作。</w:t>
      </w:r>
    </w:p>
    <w:p>
      <w:pPr>
        <w:pStyle w:val="null3"/>
        <w:ind w:firstLine="422"/>
        <w:jc w:val="both"/>
      </w:pPr>
      <w:r>
        <w:rPr>
          <w:rFonts w:ascii="宋体" w:hAnsi="宋体" w:cs="宋体" w:eastAsia="宋体"/>
          <w:b/>
          <w:sz w:val="24"/>
          <w:shd w:fill="FFFFFF" w:val="clear"/>
        </w:rPr>
        <w:t>4、保密要求</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16）★4.1严格按照《中华人民共和国保守国家秘密法》、《中华人民共和国保守国家秘密法实施条例》、《计算机信息系统保密管理暂行规定》、《国家秘密载体保密管理的规定》等以及测绘相关法律法规及管理文件的要求，对调查测绘的成果资料进行有效管理，做好安全保密工作。</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17）★4.2投标人有责任和义务进行经常性的保密教育和检查，落实各项保密措施，使所属人员知悉与其工作有关的保密范围和各项保密制度。不得擅自非工作需要复制、存储涉密信息。一旦发生泄密涉密事件应负全部责任，并依法追究法律责任。</w:t>
      </w:r>
    </w:p>
    <w:p>
      <w:pPr>
        <w:pStyle w:val="null3"/>
        <w:ind w:firstLine="420"/>
        <w:jc w:val="both"/>
      </w:pPr>
      <w:r>
        <w:rPr>
          <w:rFonts w:ascii="宋体" w:hAnsi="宋体" w:cs="宋体" w:eastAsia="宋体"/>
          <w:b/>
          <w:sz w:val="24"/>
          <w:shd w:fill="FFFFFF" w:val="clear"/>
        </w:rPr>
        <w:t>（二）团队及服务承诺要求</w:t>
      </w:r>
    </w:p>
    <w:p>
      <w:pPr>
        <w:pStyle w:val="null3"/>
        <w:ind w:firstLine="422"/>
        <w:jc w:val="both"/>
      </w:pPr>
      <w:r>
        <w:rPr>
          <w:rFonts w:ascii="宋体" w:hAnsi="宋体" w:cs="宋体" w:eastAsia="宋体"/>
          <w:b/>
          <w:sz w:val="24"/>
          <w:shd w:fill="FFFFFF" w:val="clear"/>
        </w:rPr>
        <w:t>（评审项</w:t>
      </w:r>
      <w:r>
        <w:rPr>
          <w:rFonts w:ascii="宋体" w:hAnsi="宋体" w:cs="宋体" w:eastAsia="宋体"/>
          <w:b/>
          <w:sz w:val="24"/>
          <w:shd w:fill="FFFFFF" w:val="clear"/>
        </w:rPr>
        <w:t>18）★为满足本项目实施需要，并保障项目按质、按量、按时及有序进行，投标人须建立一个完善和稳定的项目团队项目团队至少配备20名以上成员。项目团队人员均应具备相关工作能力及经验，其中至少配备项目负责人1名，对项目负总责，负责各阶段统筹工作；至少配备技术负责人1名，负责对项目关键技术点的把控工作；至少配备质量安全负责人1名、数据管理人员1名、涉密测绘成果管理人员1名、至少配备技术人员15名以上。投标人应保证在项目周期内实施人员的稳定性，项目核心人员不发生变动。</w:t>
      </w:r>
    </w:p>
    <w:p>
      <w:pPr>
        <w:pStyle w:val="null3"/>
        <w:jc w:val="both"/>
        <w:outlineLvl w:val="2"/>
      </w:pPr>
      <w:r>
        <w:rPr>
          <w:b/>
          <w:sz w:val="28"/>
        </w:rPr>
        <w:t>三、商务要求（以“★”标示的内容为不允许负偏离的实质性要求）</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自合同签订之日起120日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通过专家评审（咨询），提交最终成果。</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1、期次1，说明：提交最终成果</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1、完成所有服务内容并提交最终成果后，达到付款条件起30日内，支付合同总金额的100.00%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p>
    <w:p>
      <w:pPr>
        <w:pStyle w:val="null3"/>
      </w:pPr>
    </w:p>
    <w:p>
      <w:pPr>
        <w:pStyle w:val="null3"/>
        <w:ind w:firstLine="480"/>
        <w:jc w:val="both"/>
      </w:pPr>
      <w:r>
        <w:rPr>
          <w:rFonts w:ascii="宋体" w:hAnsi="宋体" w:cs="宋体" w:eastAsia="宋体"/>
          <w:sz w:val="24"/>
          <w:shd w:fill="FFFFFF" w:val="clear"/>
        </w:rPr>
        <w:t>8、违约责任</w:t>
      </w:r>
    </w:p>
    <w:p>
      <w:pPr>
        <w:pStyle w:val="null3"/>
        <w:ind w:firstLine="480"/>
        <w:jc w:val="both"/>
      </w:pPr>
      <w:r>
        <w:rPr>
          <w:rFonts w:ascii="宋体" w:hAnsi="宋体" w:cs="宋体" w:eastAsia="宋体"/>
          <w:sz w:val="24"/>
          <w:shd w:fill="FFFFFF" w:val="clear"/>
        </w:rPr>
        <w:t>8.1因中标人原因造成采购合同无法按时签订，视为中标人违约，中标人违约对采购人造成的损失的，需另行支付相应的赔偿。</w:t>
      </w:r>
    </w:p>
    <w:p>
      <w:pPr>
        <w:pStyle w:val="null3"/>
        <w:ind w:firstLine="480"/>
        <w:jc w:val="both"/>
      </w:pPr>
      <w:r>
        <w:rPr>
          <w:rFonts w:ascii="宋体" w:hAnsi="宋体" w:cs="宋体" w:eastAsia="宋体"/>
          <w:sz w:val="24"/>
          <w:shd w:fill="FFFFFF" w:val="clear"/>
        </w:rPr>
        <w:t>8.2在签定采购合同之后，中标人要求解除合同的，视为中标人违约，对采购人造成的损失的，中标人需支付相应的赔偿。</w:t>
      </w:r>
    </w:p>
    <w:p>
      <w:pPr>
        <w:pStyle w:val="null3"/>
        <w:ind w:firstLine="480"/>
        <w:jc w:val="both"/>
      </w:pPr>
      <w:r>
        <w:rPr>
          <w:rFonts w:ascii="宋体" w:hAnsi="宋体" w:cs="宋体" w:eastAsia="宋体"/>
          <w:sz w:val="24"/>
          <w:shd w:fill="FFFFFF" w:val="clear"/>
        </w:rPr>
        <w:t>8.3中标人应严格按照招标文件规定的时间、地点提供服务。若中标人可能遇到妨碍按时提供服务的情况时，应提前7个工作日以书面形式将拖延的事实及拖延的期限和理由通知采购人。采购人在收到中标人通知后，应尽快对情况进行评估，并确定是否同意延长延期提供服务。除正当理由并经采购人同意外，中标人没有按照招标文件规定的时间提供服务，采购人可从合同总金额中扣除相应赔偿费。延期服务赔偿费按每24小时赔偿合同总金额1‰计收，直至提供服务为止。逾期超过15日，采购人有权单方终止或解除合同，中标人应向采购人支付合同金额10%的违约金。</w:t>
      </w:r>
    </w:p>
    <w:p>
      <w:pPr>
        <w:pStyle w:val="null3"/>
        <w:ind w:firstLine="480"/>
        <w:jc w:val="both"/>
      </w:pPr>
      <w:r>
        <w:rPr>
          <w:rFonts w:ascii="宋体" w:hAnsi="宋体" w:cs="宋体" w:eastAsia="宋体"/>
          <w:sz w:val="24"/>
          <w:shd w:fill="FFFFFF" w:val="clear"/>
        </w:rPr>
        <w:t>8.4中标人没有通过采购人最终验收，采购人有权视为中标人违反合同约定。</w:t>
      </w:r>
    </w:p>
    <w:p>
      <w:pPr>
        <w:pStyle w:val="null3"/>
        <w:ind w:firstLine="480"/>
        <w:jc w:val="both"/>
      </w:pPr>
      <w:r>
        <w:rPr>
          <w:rFonts w:ascii="宋体" w:hAnsi="宋体" w:cs="宋体" w:eastAsia="宋体"/>
          <w:sz w:val="24"/>
          <w:shd w:fill="FFFFFF" w:val="clear"/>
        </w:rPr>
        <w:t>8.5因中标人原因发生重大质量事故，除依约承担赔偿责任外，还将按有关质量管理办法规定执行。同时，采购人有权保留更换中标人的权利，并报相关行政主管部门处罚。</w:t>
      </w:r>
    </w:p>
    <w:p>
      <w:pPr>
        <w:pStyle w:val="null3"/>
        <w:ind w:firstLine="480"/>
        <w:jc w:val="both"/>
      </w:pPr>
      <w:r>
        <w:rPr>
          <w:rFonts w:ascii="宋体" w:hAnsi="宋体" w:cs="宋体" w:eastAsia="宋体"/>
          <w:sz w:val="24"/>
          <w:shd w:fill="FFFFFF" w:val="clear"/>
        </w:rPr>
        <w:t>8.6中标人违反合同约定，采购人有权单方终止或解除合同，未付的合同货款不予支付；采购人已经支付的款项中标人应予以退还。若因此给采购人造成损失的，还应赔偿采购人所受的损失。</w:t>
      </w:r>
    </w:p>
    <w:p>
      <w:pPr>
        <w:pStyle w:val="null3"/>
        <w:ind w:firstLine="480"/>
        <w:jc w:val="both"/>
      </w:pPr>
      <w:r>
        <w:rPr>
          <w:rFonts w:ascii="宋体" w:hAnsi="宋体" w:cs="宋体" w:eastAsia="宋体"/>
          <w:sz w:val="24"/>
          <w:shd w:fill="FFFFFF" w:val="clear"/>
        </w:rPr>
        <w:t>8.7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both"/>
      </w:pPr>
      <w:r>
        <w:rPr>
          <w:rFonts w:ascii="宋体" w:hAnsi="宋体" w:cs="宋体" w:eastAsia="宋体"/>
          <w:sz w:val="24"/>
          <w:shd w:fill="FFFFFF" w:val="clear"/>
        </w:rPr>
        <w:t>8.8在明确违约责任后，中标人应在接到书面通知书起7个工作日内支付违约金、赔偿金等。</w:t>
      </w:r>
    </w:p>
    <w:p>
      <w:pPr>
        <w:pStyle w:val="null3"/>
        <w:ind w:firstLine="480"/>
        <w:jc w:val="both"/>
      </w:pPr>
      <w:r>
        <w:rPr>
          <w:rFonts w:ascii="宋体" w:hAnsi="宋体" w:cs="宋体" w:eastAsia="宋体"/>
          <w:sz w:val="24"/>
          <w:shd w:fill="FFFFFF" w:val="clear"/>
        </w:rPr>
        <w:t>9、知识产权</w:t>
      </w:r>
    </w:p>
    <w:p>
      <w:pPr>
        <w:pStyle w:val="null3"/>
        <w:ind w:firstLine="480"/>
        <w:jc w:val="both"/>
      </w:pPr>
      <w:r>
        <w:rPr>
          <w:rFonts w:ascii="宋体" w:hAnsi="宋体" w:cs="宋体" w:eastAsia="宋体"/>
          <w:sz w:val="24"/>
          <w:shd w:fill="FFFFFF" w:val="clear"/>
        </w:rPr>
        <w:t>中标人须保障采购人在使用该货物或其任何一部分时不受到第三方关于侵犯专利权、商标权或工业设计权等知识产权的指控。如果任何第三方提出侵权指控与采购人无关，中标人须与第三方交涉并承担可能发生的责任与一切费用。如采购人因此而遭致损失的，中标人应赔偿该损失。</w:t>
      </w:r>
    </w:p>
    <w:p>
      <w:pPr>
        <w:pStyle w:val="null3"/>
        <w:ind w:firstLine="480"/>
        <w:jc w:val="both"/>
      </w:pPr>
      <w:r>
        <w:rPr>
          <w:rFonts w:ascii="宋体" w:hAnsi="宋体" w:cs="宋体" w:eastAsia="宋体"/>
          <w:sz w:val="24"/>
          <w:shd w:fill="FFFFFF" w:val="clear"/>
        </w:rPr>
        <w:t>10、仲裁、诉讼条款</w:t>
      </w:r>
    </w:p>
    <w:p>
      <w:pPr>
        <w:pStyle w:val="null3"/>
        <w:ind w:firstLine="480"/>
        <w:jc w:val="both"/>
      </w:pPr>
      <w:r>
        <w:rPr>
          <w:rFonts w:ascii="宋体" w:hAnsi="宋体" w:cs="宋体" w:eastAsia="宋体"/>
          <w:sz w:val="24"/>
          <w:shd w:fill="FFFFFF" w:val="clear"/>
        </w:rPr>
        <w:t>因采购或与采购合同有关的一切事项发生争议，由采购人和中标人双方友好协商解决。协商不成的，任何一方均可选择</w:t>
      </w:r>
      <w:r>
        <w:rPr>
          <w:rFonts w:ascii="宋体" w:hAnsi="宋体" w:cs="宋体" w:eastAsia="宋体"/>
          <w:sz w:val="24"/>
          <w:shd w:fill="FFFFFF" w:val="clear"/>
        </w:rPr>
        <w:t xml:space="preserve"> 向采购人所在地仲裁委员会申请仲裁 的方式解决。</w:t>
      </w:r>
    </w:p>
    <w:p>
      <w:pPr>
        <w:pStyle w:val="null3"/>
        <w:ind w:firstLine="482"/>
        <w:jc w:val="both"/>
      </w:pPr>
      <w:r>
        <w:rPr>
          <w:rFonts w:ascii="宋体" w:hAnsi="宋体" w:cs="宋体" w:eastAsia="宋体"/>
          <w:b/>
          <w:sz w:val="24"/>
          <w:shd w:fill="FFFFFF" w:val="clear"/>
        </w:rPr>
        <w:t>注意：本章节</w:t>
      </w:r>
      <w:r>
        <w:rPr>
          <w:rFonts w:ascii="宋体" w:hAnsi="宋体" w:cs="宋体" w:eastAsia="宋体"/>
          <w:b/>
          <w:sz w:val="24"/>
          <w:shd w:fill="FFFFFF" w:val="clear"/>
        </w:rPr>
        <w:t>“三、商务要求”项下所有内容均为以“★”标示的不允许负偏离的实质性要求，出现负偏离的按无效投标处理。</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p>
    <w:p>
      <w:pPr>
        <w:pStyle w:val="null3"/>
        <w:jc w:val="both"/>
      </w:pPr>
      <w:r>
        <w:rPr/>
        <w:t>2.1本项目不允许中标人以任何名义和理由在中 标 后将中标项目的主体、非主体、关键性工作、非关键性工作进行转包、分包。中标人应当能独立完成所有服务内容，在履行合同过程中如有发现，采购人有权单方终止合同，视为中标人违约，应按中标金额的20%向采购人支付违约金，违约金不足以赔偿给采购人造成的损失的，需另行支付相应的赔偿，并追究相关法律责任。 2.2本招标文件未明确的其它约定事项或条款，待采购人与中标人签订合同时，由双方协商订立。</w:t>
      </w:r>
    </w:p>
    <w:p>
      <w:pPr>
        <w:pStyle w:val="null3"/>
      </w:pPr>
    </w:p>
    <w:p>
      <w:pPr>
        <w:pStyle w:val="null3"/>
      </w:pPr>
      <w:r>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p>
    <w:p>
      <w:pPr>
        <w:pStyle w:val="null3"/>
        <w:spacing w:lineRule="auto" w:line="300"/>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pPr>
    </w:p>
    <w:p>
      <w:pPr>
        <w:pStyle w:val="null3"/>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pPr>
    </w:p>
    <w:p>
      <w:pPr>
        <w:pStyle w:val="null3"/>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p>
    <w:p>
      <w:pPr>
        <w:pStyle w:val="null3"/>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p>
    <w:p>
      <w:pPr>
        <w:pStyle w:val="null3"/>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p>
    <w:p>
      <w:pPr>
        <w:pStyle w:val="null3"/>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p>
    <w:p>
      <w:pPr>
        <w:pStyle w:val="null3"/>
      </w:pPr>
      <w:r>
        <w:rPr/>
        <w:t xml:space="preserve"> </w:t>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p>
          <w:p>
            <w:pPr>
              <w:pStyle w:val="null3"/>
              <w:jc w:val="left"/>
            </w:pPr>
            <w:r>
              <w:rPr/>
              <w:t>b.采购包投标总价（报价总金额）：</w:t>
            </w:r>
            <w:r>
              <w:rPr>
                <w:u w:val="single"/>
              </w:rPr>
              <w:t>　　　　　</w:t>
            </w:r>
            <w:r>
              <w:rPr/>
              <w:t>；</w:t>
            </w:r>
          </w:p>
          <w:p>
            <w:pPr>
              <w:pStyle w:val="null3"/>
              <w:jc w:val="left"/>
            </w:pP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